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92C11" w:rsidRPr="00692C11" w:rsidRDefault="00692C11" w:rsidP="00AB2953">
      <w:pPr>
        <w:ind w:firstLine="708"/>
        <w:jc w:val="center"/>
        <w:rPr>
          <w:sz w:val="48"/>
          <w:lang w:val="en-US"/>
        </w:rPr>
      </w:pPr>
      <w:r w:rsidRPr="00692C11">
        <w:rPr>
          <w:sz w:val="48"/>
          <w:lang w:val="en-US"/>
        </w:rPr>
        <w:t>NETWORK OF CENTRES OF EXCELLENCE</w:t>
      </w:r>
    </w:p>
    <w:p w:rsidR="00692C11" w:rsidRDefault="00692C11" w:rsidP="00AB2953">
      <w:pPr>
        <w:rPr>
          <w:sz w:val="48"/>
          <w:lang w:val="en-US"/>
        </w:rPr>
      </w:pPr>
      <w:r w:rsidRPr="00692C11">
        <w:rPr>
          <w:noProof/>
          <w:sz w:val="32"/>
          <w:lang w:val="en-US"/>
        </w:rPr>
        <w:drawing>
          <wp:anchor distT="0" distB="0" distL="114300" distR="114300" simplePos="0" relativeHeight="251660288" behindDoc="0" locked="0" layoutInCell="1" allowOverlap="1">
            <wp:simplePos x="0" y="0"/>
            <wp:positionH relativeFrom="column">
              <wp:posOffset>571500</wp:posOffset>
            </wp:positionH>
            <wp:positionV relativeFrom="paragraph">
              <wp:posOffset>359410</wp:posOffset>
            </wp:positionV>
            <wp:extent cx="4723765" cy="1929130"/>
            <wp:effectExtent l="2540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PAR-logo.png"/>
                    <pic:cNvPicPr/>
                  </pic:nvPicPr>
                  <pic:blipFill>
                    <a:blip r:embed="rId7"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723765" cy="1929130"/>
                    </a:xfrm>
                    <a:prstGeom prst="rect">
                      <a:avLst/>
                    </a:prstGeom>
                  </pic:spPr>
                </pic:pic>
              </a:graphicData>
            </a:graphic>
          </wp:anchor>
        </w:drawing>
      </w:r>
    </w:p>
    <w:p w:rsidR="003C4842" w:rsidRDefault="00692C11" w:rsidP="00692C11">
      <w:pPr>
        <w:jc w:val="center"/>
        <w:rPr>
          <w:sz w:val="48"/>
          <w:lang w:val="en-US"/>
        </w:rPr>
      </w:pPr>
      <w:r w:rsidRPr="00692C11">
        <w:rPr>
          <w:sz w:val="48"/>
          <w:lang w:val="en-US"/>
        </w:rPr>
        <w:t>STRATEGIC PLAN</w:t>
      </w:r>
      <w:r w:rsidR="003C4842">
        <w:rPr>
          <w:sz w:val="48"/>
          <w:lang w:val="en-US"/>
        </w:rPr>
        <w:t xml:space="preserve"> </w:t>
      </w:r>
      <w:r w:rsidR="009F5032">
        <w:rPr>
          <w:sz w:val="48"/>
          <w:lang w:val="en-US"/>
        </w:rPr>
        <w:t>2012-201</w:t>
      </w:r>
      <w:r w:rsidR="003C4842">
        <w:rPr>
          <w:sz w:val="48"/>
          <w:lang w:val="en-US"/>
        </w:rPr>
        <w:t xml:space="preserve">7 </w:t>
      </w:r>
    </w:p>
    <w:p w:rsidR="00AB2953" w:rsidRDefault="00AB2953" w:rsidP="00692C11">
      <w:pPr>
        <w:jc w:val="center"/>
        <w:rPr>
          <w:sz w:val="48"/>
          <w:lang w:val="en-US"/>
        </w:rPr>
      </w:pPr>
    </w:p>
    <w:p w:rsidR="00AB2953" w:rsidRDefault="00AB2953" w:rsidP="00692C11">
      <w:pPr>
        <w:jc w:val="center"/>
        <w:rPr>
          <w:sz w:val="48"/>
          <w:lang w:val="en-US"/>
        </w:rPr>
      </w:pPr>
    </w:p>
    <w:p w:rsidR="00692C11" w:rsidRDefault="003C4842" w:rsidP="00692C11">
      <w:pPr>
        <w:jc w:val="center"/>
        <w:rPr>
          <w:sz w:val="48"/>
          <w:lang w:val="en-US"/>
        </w:rPr>
      </w:pPr>
      <w:r>
        <w:rPr>
          <w:sz w:val="48"/>
          <w:lang w:val="en-US"/>
        </w:rPr>
        <w:t>2012/2013 Version</w:t>
      </w:r>
    </w:p>
    <w:p w:rsidR="00692C11" w:rsidRPr="00692C11" w:rsidRDefault="009E44C0" w:rsidP="00692C11">
      <w:pPr>
        <w:jc w:val="center"/>
        <w:rPr>
          <w:sz w:val="48"/>
          <w:lang w:val="en-US"/>
        </w:rPr>
      </w:pPr>
      <w:r>
        <w:rPr>
          <w:sz w:val="48"/>
          <w:lang w:val="en-US"/>
        </w:rPr>
        <w:t>December</w:t>
      </w:r>
      <w:r w:rsidR="00AB2953">
        <w:rPr>
          <w:sz w:val="48"/>
          <w:lang w:val="en-US"/>
        </w:rPr>
        <w:t xml:space="preserve"> 18</w:t>
      </w:r>
      <w:r w:rsidR="00692C11" w:rsidRPr="00692C11">
        <w:rPr>
          <w:sz w:val="48"/>
          <w:lang w:val="en-US"/>
        </w:rPr>
        <w:t>, 2012</w:t>
      </w: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Pr="00590F93" w:rsidRDefault="00590F93" w:rsidP="00590F93">
      <w:pPr>
        <w:jc w:val="center"/>
        <w:rPr>
          <w:sz w:val="24"/>
          <w:lang w:val="en-US"/>
        </w:rPr>
      </w:pPr>
      <w:r w:rsidRPr="00590F93">
        <w:rPr>
          <w:sz w:val="24"/>
          <w:lang w:val="en-US"/>
        </w:rPr>
        <w:t>(subject to final approval by MEOPAR Board)</w:t>
      </w:r>
    </w:p>
    <w:p w:rsidR="00692C11" w:rsidRDefault="00692C11">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br w:type="page"/>
      </w:r>
    </w:p>
    <w:p w:rsidR="00692C11" w:rsidRPr="00692C11" w:rsidRDefault="00692C11" w:rsidP="002A2AF4">
      <w:pPr>
        <w:keepNext/>
        <w:keepLines/>
        <w:spacing w:before="480" w:after="240"/>
        <w:outlineLvl w:val="0"/>
        <w:rPr>
          <w:rFonts w:asciiTheme="majorHAnsi" w:eastAsiaTheme="majorEastAsia" w:hAnsiTheme="majorHAnsi" w:cstheme="majorBidi"/>
          <w:b/>
          <w:bCs/>
          <w:color w:val="365F91" w:themeColor="accent1" w:themeShade="BF"/>
          <w:sz w:val="28"/>
          <w:szCs w:val="28"/>
          <w:lang w:val="en-US"/>
        </w:rPr>
      </w:pPr>
      <w:r w:rsidRPr="00692C11">
        <w:rPr>
          <w:rFonts w:asciiTheme="majorHAnsi" w:eastAsiaTheme="majorEastAsia" w:hAnsiTheme="majorHAnsi" w:cstheme="majorBidi"/>
          <w:b/>
          <w:bCs/>
          <w:color w:val="365F91" w:themeColor="accent1" w:themeShade="BF"/>
          <w:sz w:val="28"/>
          <w:szCs w:val="28"/>
          <w:lang w:val="en-US"/>
        </w:rPr>
        <w:t xml:space="preserve">Foreword </w:t>
      </w:r>
    </w:p>
    <w:p w:rsidR="00692C11" w:rsidRPr="002A2AF4" w:rsidRDefault="00692C11" w:rsidP="00692C11">
      <w:pPr>
        <w:rPr>
          <w:sz w:val="24"/>
          <w:lang w:val="en-US"/>
        </w:rPr>
      </w:pPr>
      <w:r w:rsidRPr="002A2AF4">
        <w:rPr>
          <w:sz w:val="24"/>
          <w:lang w:val="en-US"/>
        </w:rPr>
        <w:t>It is a pleasure to present the strategic plan for the Marine Environmental Observation, Prediction and Response (MEOPAR) Network of Centres of Excellence. The MEOPAR Network offers unique opportunities for Canada’s scientists, policymakers, industries and</w:t>
      </w:r>
      <w:r w:rsidR="0042094F">
        <w:rPr>
          <w:sz w:val="24"/>
          <w:lang w:val="en-US"/>
        </w:rPr>
        <w:t xml:space="preserve"> communities to address risks within</w:t>
      </w:r>
      <w:r w:rsidRPr="002A2AF4">
        <w:rPr>
          <w:sz w:val="24"/>
          <w:lang w:val="en-US"/>
        </w:rPr>
        <w:t xml:space="preserve"> the marine environment. The N</w:t>
      </w:r>
      <w:r w:rsidR="00F855F8" w:rsidRPr="002A2AF4">
        <w:rPr>
          <w:sz w:val="24"/>
          <w:lang w:val="en-US"/>
        </w:rPr>
        <w:t>etwork is timely: the ongoing</w:t>
      </w:r>
      <w:r w:rsidRPr="002A2AF4">
        <w:rPr>
          <w:sz w:val="24"/>
          <w:lang w:val="en-US"/>
        </w:rPr>
        <w:t xml:space="preserve"> coincidence of economic and societal pressures and new opportunities with major environmental change provides both the context and the challenge for the MEOPAR Network. </w:t>
      </w:r>
      <w:r w:rsidR="00F855F8" w:rsidRPr="002A2AF4">
        <w:rPr>
          <w:sz w:val="24"/>
          <w:lang w:val="en-US"/>
        </w:rPr>
        <w:t>R</w:t>
      </w:r>
      <w:r w:rsidRPr="002A2AF4">
        <w:rPr>
          <w:sz w:val="24"/>
          <w:lang w:val="en-US"/>
        </w:rPr>
        <w:t xml:space="preserve">isk associated with </w:t>
      </w:r>
      <w:r w:rsidR="009C28CE">
        <w:rPr>
          <w:sz w:val="24"/>
          <w:lang w:val="en-US"/>
        </w:rPr>
        <w:t xml:space="preserve">the </w:t>
      </w:r>
      <w:r w:rsidRPr="002A2AF4">
        <w:rPr>
          <w:sz w:val="24"/>
          <w:lang w:val="en-US"/>
        </w:rPr>
        <w:t xml:space="preserve">intersection of technological innovation </w:t>
      </w:r>
      <w:r w:rsidR="009C28CE">
        <w:rPr>
          <w:sz w:val="24"/>
          <w:lang w:val="en-US"/>
        </w:rPr>
        <w:t>and</w:t>
      </w:r>
      <w:r w:rsidR="009C28CE" w:rsidRPr="002A2AF4">
        <w:rPr>
          <w:sz w:val="24"/>
          <w:lang w:val="en-US"/>
        </w:rPr>
        <w:t xml:space="preserve"> </w:t>
      </w:r>
      <w:r w:rsidRPr="002A2AF4">
        <w:rPr>
          <w:sz w:val="24"/>
          <w:lang w:val="en-US"/>
        </w:rPr>
        <w:t xml:space="preserve">marine hazards is not new, </w:t>
      </w:r>
      <w:r w:rsidR="00F855F8" w:rsidRPr="002A2AF4">
        <w:rPr>
          <w:sz w:val="24"/>
          <w:lang w:val="en-US"/>
        </w:rPr>
        <w:t>but</w:t>
      </w:r>
      <w:r w:rsidRPr="002A2AF4">
        <w:rPr>
          <w:sz w:val="24"/>
          <w:lang w:val="en-US"/>
        </w:rPr>
        <w:t xml:space="preserve"> the scale, complexity and </w:t>
      </w:r>
      <w:r w:rsidR="00F855F8" w:rsidRPr="002A2AF4">
        <w:rPr>
          <w:sz w:val="24"/>
          <w:lang w:val="en-US"/>
        </w:rPr>
        <w:t>cost of accidents and disasters</w:t>
      </w:r>
      <w:r w:rsidRPr="002A2AF4">
        <w:rPr>
          <w:sz w:val="24"/>
          <w:lang w:val="en-US"/>
        </w:rPr>
        <w:t xml:space="preserve"> have increased </w:t>
      </w:r>
      <w:r w:rsidR="0061782A">
        <w:rPr>
          <w:sz w:val="24"/>
          <w:lang w:val="en-US"/>
        </w:rPr>
        <w:t>dramatically</w:t>
      </w:r>
      <w:r w:rsidR="00E851D6">
        <w:rPr>
          <w:sz w:val="24"/>
          <w:lang w:val="en-US"/>
        </w:rPr>
        <w:t xml:space="preserve"> in recent decades</w:t>
      </w:r>
      <w:r w:rsidRPr="002A2AF4">
        <w:rPr>
          <w:sz w:val="24"/>
          <w:lang w:val="en-US"/>
        </w:rPr>
        <w:t>, as illustrated by ocean-r</w:t>
      </w:r>
      <w:r w:rsidR="00F855F8" w:rsidRPr="002A2AF4">
        <w:rPr>
          <w:sz w:val="24"/>
          <w:lang w:val="en-US"/>
        </w:rPr>
        <w:t xml:space="preserve">elated events of this </w:t>
      </w:r>
      <w:r w:rsidR="00842BAE">
        <w:rPr>
          <w:sz w:val="24"/>
          <w:lang w:val="en-US"/>
        </w:rPr>
        <w:t>c</w:t>
      </w:r>
      <w:r w:rsidRPr="002A2AF4">
        <w:rPr>
          <w:sz w:val="24"/>
          <w:lang w:val="en-US"/>
        </w:rPr>
        <w:t>entury (e.g. Katrina, Deepwater Horizon, Fukishima).</w:t>
      </w:r>
    </w:p>
    <w:p w:rsidR="00692C11" w:rsidRPr="002A2AF4" w:rsidRDefault="00F855F8" w:rsidP="00692C11">
      <w:pPr>
        <w:rPr>
          <w:sz w:val="24"/>
          <w:lang w:val="en-US"/>
        </w:rPr>
      </w:pPr>
      <w:r w:rsidRPr="002A2AF4">
        <w:rPr>
          <w:sz w:val="24"/>
          <w:lang w:val="en-US"/>
        </w:rPr>
        <w:t>The</w:t>
      </w:r>
      <w:r w:rsidR="00692C11" w:rsidRPr="002A2AF4">
        <w:rPr>
          <w:sz w:val="24"/>
          <w:lang w:val="en-US"/>
        </w:rPr>
        <w:t xml:space="preserve"> word </w:t>
      </w:r>
      <w:r w:rsidRPr="002A2AF4">
        <w:rPr>
          <w:sz w:val="24"/>
          <w:lang w:val="en-US"/>
        </w:rPr>
        <w:t>“</w:t>
      </w:r>
      <w:r w:rsidR="009C28CE">
        <w:rPr>
          <w:sz w:val="24"/>
          <w:lang w:val="en-US"/>
        </w:rPr>
        <w:t>a</w:t>
      </w:r>
      <w:r w:rsidRPr="002A2AF4">
        <w:rPr>
          <w:sz w:val="24"/>
          <w:lang w:val="en-US"/>
        </w:rPr>
        <w:t>nticipation”</w:t>
      </w:r>
      <w:r w:rsidR="00692C11" w:rsidRPr="002A2AF4">
        <w:rPr>
          <w:sz w:val="24"/>
          <w:lang w:val="en-US"/>
        </w:rPr>
        <w:t xml:space="preserve"> captures the </w:t>
      </w:r>
      <w:r w:rsidR="00E851D6">
        <w:rPr>
          <w:sz w:val="24"/>
          <w:lang w:val="en-US"/>
        </w:rPr>
        <w:t>essence</w:t>
      </w:r>
      <w:r w:rsidR="00E851D6" w:rsidRPr="002A2AF4">
        <w:rPr>
          <w:sz w:val="24"/>
          <w:lang w:val="en-US"/>
        </w:rPr>
        <w:t xml:space="preserve"> </w:t>
      </w:r>
      <w:r w:rsidR="00692C11" w:rsidRPr="002A2AF4">
        <w:rPr>
          <w:sz w:val="24"/>
          <w:lang w:val="en-US"/>
        </w:rPr>
        <w:t xml:space="preserve">of </w:t>
      </w:r>
      <w:r w:rsidR="003C4842">
        <w:rPr>
          <w:sz w:val="24"/>
          <w:lang w:val="en-US"/>
        </w:rPr>
        <w:t>this</w:t>
      </w:r>
      <w:r w:rsidR="00692C11" w:rsidRPr="002A2AF4">
        <w:rPr>
          <w:sz w:val="24"/>
          <w:lang w:val="en-US"/>
        </w:rPr>
        <w:t xml:space="preserve"> new Network of</w:t>
      </w:r>
      <w:r w:rsidRPr="002A2AF4">
        <w:rPr>
          <w:sz w:val="24"/>
          <w:lang w:val="en-US"/>
        </w:rPr>
        <w:t xml:space="preserve"> Centres of Excellence</w:t>
      </w:r>
      <w:r w:rsidR="00692C11" w:rsidRPr="002A2AF4">
        <w:rPr>
          <w:sz w:val="24"/>
          <w:lang w:val="en-US"/>
        </w:rPr>
        <w:t xml:space="preserve">. This word’s meaning covers prediction based on observation or </w:t>
      </w:r>
      <w:r w:rsidRPr="002A2AF4">
        <w:rPr>
          <w:sz w:val="24"/>
          <w:lang w:val="en-US"/>
        </w:rPr>
        <w:t>experience</w:t>
      </w:r>
      <w:r w:rsidR="00692C11" w:rsidRPr="002A2AF4">
        <w:rPr>
          <w:sz w:val="24"/>
          <w:lang w:val="en-US"/>
        </w:rPr>
        <w:t xml:space="preserve">, </w:t>
      </w:r>
      <w:r w:rsidR="009C0E08" w:rsidRPr="002A2AF4">
        <w:rPr>
          <w:sz w:val="24"/>
          <w:lang w:val="en-US"/>
        </w:rPr>
        <w:t>and can imply</w:t>
      </w:r>
      <w:r w:rsidR="00692C11" w:rsidRPr="002A2AF4">
        <w:rPr>
          <w:sz w:val="24"/>
          <w:lang w:val="en-US"/>
        </w:rPr>
        <w:t xml:space="preserve"> action to mitigate or prevent something bad from happening. Yet the word </w:t>
      </w:r>
      <w:r w:rsidRPr="002A2AF4">
        <w:rPr>
          <w:sz w:val="24"/>
          <w:lang w:val="en-US"/>
        </w:rPr>
        <w:t xml:space="preserve">can also convey </w:t>
      </w:r>
      <w:r w:rsidR="0061782A">
        <w:rPr>
          <w:sz w:val="24"/>
          <w:lang w:val="en-US"/>
        </w:rPr>
        <w:t>a</w:t>
      </w:r>
      <w:r w:rsidRPr="002A2AF4">
        <w:rPr>
          <w:sz w:val="24"/>
          <w:lang w:val="en-US"/>
        </w:rPr>
        <w:t xml:space="preserve"> more positive sense of </w:t>
      </w:r>
      <w:r w:rsidR="00692C11" w:rsidRPr="002A2AF4">
        <w:rPr>
          <w:sz w:val="24"/>
          <w:lang w:val="en-US"/>
        </w:rPr>
        <w:t xml:space="preserve">expectation that something </w:t>
      </w:r>
      <w:r w:rsidR="00E851D6">
        <w:rPr>
          <w:sz w:val="24"/>
          <w:lang w:val="en-US"/>
        </w:rPr>
        <w:t xml:space="preserve">beneficial or </w:t>
      </w:r>
      <w:r w:rsidR="00692C11" w:rsidRPr="002A2AF4">
        <w:rPr>
          <w:sz w:val="24"/>
          <w:lang w:val="en-US"/>
        </w:rPr>
        <w:t xml:space="preserve">pleasant lies ahead. The key to </w:t>
      </w:r>
      <w:r w:rsidR="009A050C" w:rsidRPr="002A2AF4">
        <w:rPr>
          <w:sz w:val="24"/>
          <w:lang w:val="en-US"/>
        </w:rPr>
        <w:t>our</w:t>
      </w:r>
      <w:r w:rsidR="00692C11" w:rsidRPr="002A2AF4">
        <w:rPr>
          <w:sz w:val="24"/>
          <w:lang w:val="en-US"/>
        </w:rPr>
        <w:t xml:space="preserve"> future relationship with the ocean will be </w:t>
      </w:r>
      <w:r w:rsidR="0061782A">
        <w:rPr>
          <w:sz w:val="24"/>
          <w:lang w:val="en-US"/>
        </w:rPr>
        <w:t>to</w:t>
      </w:r>
      <w:r w:rsidR="00E851D6">
        <w:rPr>
          <w:sz w:val="24"/>
          <w:lang w:val="en-US"/>
        </w:rPr>
        <w:t xml:space="preserve"> “anticipate” or, more precisely,</w:t>
      </w:r>
      <w:r w:rsidR="00692C11" w:rsidRPr="002A2AF4">
        <w:rPr>
          <w:sz w:val="24"/>
          <w:lang w:val="en-US"/>
        </w:rPr>
        <w:t xml:space="preserve"> </w:t>
      </w:r>
      <w:r w:rsidR="00E851D6">
        <w:rPr>
          <w:sz w:val="24"/>
          <w:lang w:val="en-US"/>
        </w:rPr>
        <w:t xml:space="preserve">to </w:t>
      </w:r>
      <w:r w:rsidR="00692C11" w:rsidRPr="002A2AF4">
        <w:rPr>
          <w:sz w:val="24"/>
          <w:lang w:val="en-US"/>
        </w:rPr>
        <w:t>use science</w:t>
      </w:r>
      <w:r w:rsidR="00E851D6">
        <w:rPr>
          <w:sz w:val="24"/>
          <w:lang w:val="en-US"/>
        </w:rPr>
        <w:t xml:space="preserve"> and technology</w:t>
      </w:r>
      <w:r w:rsidR="00692C11" w:rsidRPr="002A2AF4">
        <w:rPr>
          <w:sz w:val="24"/>
          <w:lang w:val="en-US"/>
        </w:rPr>
        <w:t xml:space="preserve"> to link observation</w:t>
      </w:r>
      <w:r w:rsidR="003C4842">
        <w:rPr>
          <w:sz w:val="24"/>
          <w:lang w:val="en-US"/>
        </w:rPr>
        <w:t>,</w:t>
      </w:r>
      <w:r w:rsidR="00692C11" w:rsidRPr="002A2AF4">
        <w:rPr>
          <w:sz w:val="24"/>
          <w:lang w:val="en-US"/>
        </w:rPr>
        <w:t xml:space="preserve"> knowledge</w:t>
      </w:r>
      <w:r w:rsidR="00E851D6">
        <w:rPr>
          <w:sz w:val="24"/>
          <w:lang w:val="en-US"/>
        </w:rPr>
        <w:t>,</w:t>
      </w:r>
      <w:r w:rsidR="0061782A">
        <w:rPr>
          <w:sz w:val="24"/>
          <w:lang w:val="en-US"/>
        </w:rPr>
        <w:t xml:space="preserve"> </w:t>
      </w:r>
      <w:r w:rsidR="00692C11" w:rsidRPr="002A2AF4">
        <w:rPr>
          <w:sz w:val="24"/>
          <w:lang w:val="en-US"/>
        </w:rPr>
        <w:t>understanding</w:t>
      </w:r>
      <w:r w:rsidR="00E851D6">
        <w:rPr>
          <w:sz w:val="24"/>
          <w:lang w:val="en-US"/>
        </w:rPr>
        <w:t xml:space="preserve"> and experience</w:t>
      </w:r>
      <w:r w:rsidR="00692C11" w:rsidRPr="002A2AF4">
        <w:rPr>
          <w:sz w:val="24"/>
          <w:lang w:val="en-US"/>
        </w:rPr>
        <w:t xml:space="preserve"> to actions which reduce risk</w:t>
      </w:r>
      <w:r w:rsidR="00E851D6">
        <w:rPr>
          <w:sz w:val="24"/>
          <w:lang w:val="en-US"/>
        </w:rPr>
        <w:t>s</w:t>
      </w:r>
      <w:r w:rsidR="00692C11" w:rsidRPr="002A2AF4">
        <w:rPr>
          <w:sz w:val="24"/>
          <w:lang w:val="en-US"/>
        </w:rPr>
        <w:t xml:space="preserve"> and enhance opportunities</w:t>
      </w:r>
      <w:r w:rsidR="00E851D6">
        <w:rPr>
          <w:sz w:val="24"/>
          <w:lang w:val="en-US"/>
        </w:rPr>
        <w:t xml:space="preserve"> and benefits</w:t>
      </w:r>
      <w:r w:rsidR="00692C11" w:rsidRPr="002A2AF4">
        <w:rPr>
          <w:sz w:val="24"/>
          <w:lang w:val="en-US"/>
        </w:rPr>
        <w:t>. This is what the MEOPAR Network’s scientists, students, technicians and specialists aim to achieve in cooperation with their partners in communities, government and industry.</w:t>
      </w:r>
    </w:p>
    <w:p w:rsidR="003C4842" w:rsidRDefault="003C4842" w:rsidP="00692C11">
      <w:pPr>
        <w:rPr>
          <w:sz w:val="24"/>
          <w:lang w:val="en-US"/>
        </w:rPr>
      </w:pPr>
    </w:p>
    <w:p w:rsidR="003C4842" w:rsidRDefault="003C4842" w:rsidP="00692C11">
      <w:pPr>
        <w:rPr>
          <w:sz w:val="24"/>
          <w:lang w:val="en-US"/>
        </w:rPr>
      </w:pPr>
    </w:p>
    <w:p w:rsidR="00692C11" w:rsidRPr="002A2AF4" w:rsidRDefault="00692C11" w:rsidP="00692C11">
      <w:pPr>
        <w:rPr>
          <w:sz w:val="24"/>
          <w:lang w:val="en-US"/>
        </w:rPr>
      </w:pPr>
      <w:r w:rsidRPr="002A2AF4">
        <w:rPr>
          <w:sz w:val="24"/>
          <w:lang w:val="en-US"/>
        </w:rPr>
        <w:t>Doug Wallace</w:t>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t>Robert Walker</w:t>
      </w:r>
    </w:p>
    <w:p w:rsidR="00692C11" w:rsidRPr="002A2AF4" w:rsidRDefault="00692C11" w:rsidP="00692C11">
      <w:pPr>
        <w:rPr>
          <w:sz w:val="24"/>
          <w:lang w:val="en-US"/>
        </w:rPr>
      </w:pPr>
      <w:r w:rsidRPr="002A2AF4">
        <w:rPr>
          <w:sz w:val="24"/>
          <w:lang w:val="en-US"/>
        </w:rPr>
        <w:t>Scientific Director, MEOPAR</w:t>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t>Board Chair, MEOPAR</w:t>
      </w:r>
    </w:p>
    <w:p w:rsidR="00692C11" w:rsidRPr="002A2AF4" w:rsidRDefault="00692C11" w:rsidP="00692C11">
      <w:pPr>
        <w:rPr>
          <w:sz w:val="24"/>
          <w:lang w:val="en-US"/>
        </w:rPr>
      </w:pPr>
    </w:p>
    <w:p w:rsidR="002A2AF4" w:rsidRDefault="00523389" w:rsidP="00692C11">
      <w:pPr>
        <w:rPr>
          <w:sz w:val="24"/>
          <w:lang w:val="en-US"/>
        </w:rPr>
      </w:pPr>
      <w:r>
        <w:rPr>
          <w:sz w:val="24"/>
          <w:lang w:val="en-US"/>
        </w:rPr>
        <w:t>December 2012</w:t>
      </w:r>
    </w:p>
    <w:p w:rsidR="005D0408" w:rsidRDefault="009C5DA0">
      <w:pPr>
        <w:rPr>
          <w:sz w:val="24"/>
          <w:lang w:val="en-US"/>
        </w:rPr>
      </w:pPr>
      <w:r>
        <w:rPr>
          <w:sz w:val="24"/>
          <w:lang w:val="en-US"/>
        </w:rPr>
        <w:br w:type="page"/>
      </w:r>
    </w:p>
    <w:p w:rsidR="005D0408" w:rsidRPr="00AB2953" w:rsidRDefault="005D0408" w:rsidP="00AB2953">
      <w:pPr>
        <w:keepNext/>
        <w:keepLines/>
        <w:spacing w:before="480" w:after="0"/>
        <w:outlineLvl w:val="0"/>
        <w:rPr>
          <w:rFonts w:asciiTheme="majorHAnsi" w:eastAsiaTheme="majorEastAsia" w:hAnsiTheme="majorHAnsi" w:cstheme="majorBidi"/>
          <w:b/>
          <w:bCs/>
          <w:color w:val="365F91" w:themeColor="accent1" w:themeShade="BF"/>
          <w:sz w:val="28"/>
          <w:szCs w:val="28"/>
          <w:lang w:val="en-US"/>
        </w:rPr>
      </w:pPr>
      <w:r w:rsidRPr="00AB2953">
        <w:rPr>
          <w:rFonts w:asciiTheme="majorHAnsi" w:eastAsiaTheme="majorEastAsia" w:hAnsiTheme="majorHAnsi" w:cstheme="majorBidi"/>
          <w:b/>
          <w:bCs/>
          <w:color w:val="365F91" w:themeColor="accent1" w:themeShade="BF"/>
          <w:sz w:val="28"/>
          <w:szCs w:val="28"/>
          <w:lang w:val="en-US"/>
        </w:rPr>
        <w:t>Preface: Planning and Policy Instruments</w:t>
      </w:r>
      <w:r>
        <w:rPr>
          <w:rFonts w:asciiTheme="majorHAnsi" w:eastAsiaTheme="majorEastAsia" w:hAnsiTheme="majorHAnsi" w:cstheme="majorBidi"/>
          <w:b/>
          <w:bCs/>
          <w:color w:val="365F91" w:themeColor="accent1" w:themeShade="BF"/>
          <w:sz w:val="28"/>
          <w:szCs w:val="28"/>
          <w:lang w:val="en-US"/>
        </w:rPr>
        <w:t xml:space="preserve"> for MEOPAR</w:t>
      </w:r>
    </w:p>
    <w:p w:rsidR="005D0408" w:rsidRDefault="005D0408" w:rsidP="005D0408">
      <w:pPr>
        <w:rPr>
          <w:sz w:val="24"/>
          <w:lang w:val="en-US"/>
        </w:rPr>
      </w:pPr>
    </w:p>
    <w:p w:rsidR="005D0408" w:rsidRPr="00AC0D27" w:rsidRDefault="005D0408" w:rsidP="005D0408">
      <w:pPr>
        <w:rPr>
          <w:sz w:val="24"/>
          <w:lang w:val="en-US"/>
        </w:rPr>
      </w:pPr>
      <w:r w:rsidRPr="00AC0D27">
        <w:rPr>
          <w:sz w:val="24"/>
          <w:lang w:val="en-US"/>
        </w:rPr>
        <w:t xml:space="preserve">The MEOPAR Network will operate according to a hierarchy of plans covering its various activities as illustrated below. These plans will be written for a 5-year horizon but will be updated annually, along with MEOPAR Inc.’s policies, in order to maintain maximum flexibility within the Network. </w:t>
      </w:r>
    </w:p>
    <w:p w:rsidR="005D0408" w:rsidRPr="00692C11" w:rsidRDefault="005D0408" w:rsidP="005D0408">
      <w:pPr>
        <w:keepNext/>
      </w:pPr>
      <w:r w:rsidRPr="00692C11">
        <w:rPr>
          <w:noProof/>
          <w:lang w:val="en-US"/>
        </w:rPr>
        <w:drawing>
          <wp:inline distT="0" distB="0" distL="0" distR="0">
            <wp:extent cx="5314122" cy="2941379"/>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0660" cy="2944998"/>
                    </a:xfrm>
                    <a:prstGeom prst="rect">
                      <a:avLst/>
                    </a:prstGeom>
                    <a:noFill/>
                  </pic:spPr>
                </pic:pic>
              </a:graphicData>
            </a:graphic>
          </wp:inline>
        </w:drawing>
      </w:r>
    </w:p>
    <w:p w:rsidR="005D0408" w:rsidRPr="00AB2953" w:rsidRDefault="005D0408" w:rsidP="00AB2953">
      <w:pPr>
        <w:spacing w:line="240" w:lineRule="auto"/>
        <w:jc w:val="center"/>
        <w:rPr>
          <w:rFonts w:ascii="Calibri" w:eastAsia="Cambria" w:hAnsi="Calibri" w:cs="Times New Roman"/>
          <w:bCs/>
          <w:i/>
          <w:color w:val="4F81BD"/>
          <w:sz w:val="24"/>
          <w:szCs w:val="18"/>
          <w:lang w:val="en-US"/>
        </w:rPr>
      </w:pPr>
      <w:r w:rsidRPr="00AB2953">
        <w:rPr>
          <w:rFonts w:ascii="Calibri" w:eastAsia="Cambria" w:hAnsi="Calibri" w:cs="Times New Roman"/>
          <w:bCs/>
          <w:i/>
          <w:sz w:val="24"/>
          <w:szCs w:val="18"/>
          <w:lang w:val="en-US"/>
        </w:rPr>
        <w:t>Plan Hierarchy for the MEOPAR Network.</w:t>
      </w:r>
    </w:p>
    <w:p w:rsidR="005D0408" w:rsidRPr="002A2AF4" w:rsidRDefault="005D0408" w:rsidP="005D0408">
      <w:pPr>
        <w:rPr>
          <w:sz w:val="24"/>
          <w:lang w:val="en-US"/>
        </w:rPr>
      </w:pPr>
      <w:r w:rsidRPr="002A2AF4">
        <w:rPr>
          <w:sz w:val="24"/>
          <w:lang w:val="en-US"/>
        </w:rPr>
        <w:t xml:space="preserve">MEOPAR Inc.’s overall direction and mandate are outlined in the following strategic plan. This document </w:t>
      </w:r>
      <w:r>
        <w:rPr>
          <w:sz w:val="24"/>
          <w:lang w:val="en-US"/>
        </w:rPr>
        <w:t xml:space="preserve">articulates a </w:t>
      </w:r>
      <w:r w:rsidRPr="002A2AF4">
        <w:rPr>
          <w:sz w:val="24"/>
          <w:lang w:val="en-US"/>
        </w:rPr>
        <w:t xml:space="preserve">vision for the Network and how products and services developed by and within MEOPAR will be transformative in the areas of marine observation, prediction and response. MEOPAR’s research plan outlines the initial projects of our Network as developed by the Research Management Committee under the leadership of the Scientific Director.  </w:t>
      </w:r>
    </w:p>
    <w:p w:rsidR="005D0408" w:rsidRPr="002A2AF4" w:rsidRDefault="005D0408" w:rsidP="005D0408">
      <w:pPr>
        <w:rPr>
          <w:sz w:val="24"/>
          <w:lang w:val="en-US"/>
        </w:rPr>
      </w:pPr>
      <w:r w:rsidRPr="002A2AF4">
        <w:rPr>
          <w:sz w:val="24"/>
          <w:lang w:val="en-US"/>
        </w:rPr>
        <w:t xml:space="preserve">MEOPAR’s corporate plan has been prepared and will be implemented by the Network’s </w:t>
      </w:r>
      <w:r>
        <w:rPr>
          <w:sz w:val="24"/>
          <w:lang w:val="en-US"/>
        </w:rPr>
        <w:t>A</w:t>
      </w:r>
      <w:r w:rsidRPr="002A2AF4">
        <w:rPr>
          <w:sz w:val="24"/>
          <w:lang w:val="en-US"/>
        </w:rPr>
        <w:t xml:space="preserve">dministrative </w:t>
      </w:r>
      <w:r>
        <w:rPr>
          <w:sz w:val="24"/>
          <w:lang w:val="en-US"/>
        </w:rPr>
        <w:t>C</w:t>
      </w:r>
      <w:r w:rsidRPr="002A2AF4">
        <w:rPr>
          <w:sz w:val="24"/>
          <w:lang w:val="en-US"/>
        </w:rPr>
        <w:t>entre</w:t>
      </w:r>
      <w:r>
        <w:rPr>
          <w:sz w:val="24"/>
          <w:lang w:val="en-US"/>
        </w:rPr>
        <w:t xml:space="preserve"> (i.e., MEOPAR, Inc.)</w:t>
      </w:r>
      <w:r w:rsidRPr="002A2AF4">
        <w:rPr>
          <w:sz w:val="24"/>
          <w:lang w:val="en-US"/>
        </w:rPr>
        <w:t>, under the guidance and leadership of the</w:t>
      </w:r>
      <w:r>
        <w:rPr>
          <w:sz w:val="24"/>
          <w:lang w:val="en-US"/>
        </w:rPr>
        <w:t xml:space="preserve"> Network Manager</w:t>
      </w:r>
      <w:r w:rsidRPr="002A2AF4">
        <w:rPr>
          <w:sz w:val="24"/>
          <w:lang w:val="en-US"/>
        </w:rPr>
        <w:t xml:space="preserve">. The plan speaks to the corporate functions of the </w:t>
      </w:r>
      <w:r>
        <w:rPr>
          <w:sz w:val="24"/>
          <w:lang w:val="en-US"/>
        </w:rPr>
        <w:t>A</w:t>
      </w:r>
      <w:r w:rsidRPr="002A2AF4">
        <w:rPr>
          <w:sz w:val="24"/>
          <w:lang w:val="en-US"/>
        </w:rPr>
        <w:t xml:space="preserve">dministrative </w:t>
      </w:r>
      <w:r>
        <w:rPr>
          <w:sz w:val="24"/>
          <w:lang w:val="en-US"/>
        </w:rPr>
        <w:t>C</w:t>
      </w:r>
      <w:r w:rsidRPr="002A2AF4">
        <w:rPr>
          <w:sz w:val="24"/>
          <w:lang w:val="en-US"/>
        </w:rPr>
        <w:t xml:space="preserve">entre: human resources, communication, and finance and the </w:t>
      </w:r>
      <w:r>
        <w:rPr>
          <w:sz w:val="24"/>
          <w:lang w:val="en-US"/>
        </w:rPr>
        <w:t>C</w:t>
      </w:r>
      <w:r w:rsidRPr="002A2AF4">
        <w:rPr>
          <w:sz w:val="24"/>
          <w:lang w:val="en-US"/>
        </w:rPr>
        <w:t xml:space="preserve">entre’s role in ensuring that the Network </w:t>
      </w:r>
      <w:r>
        <w:rPr>
          <w:sz w:val="24"/>
          <w:lang w:val="en-US"/>
        </w:rPr>
        <w:t>complies</w:t>
      </w:r>
      <w:r w:rsidRPr="002A2AF4">
        <w:rPr>
          <w:sz w:val="24"/>
          <w:lang w:val="en-US"/>
        </w:rPr>
        <w:t xml:space="preserve"> with NCE guidelines and the corporate, financial, and HR policies adjunct to this plan.</w:t>
      </w:r>
    </w:p>
    <w:p w:rsidR="005D0408" w:rsidRPr="002A2AF4" w:rsidRDefault="005D0408" w:rsidP="005D0408">
      <w:pPr>
        <w:rPr>
          <w:sz w:val="24"/>
          <w:lang w:val="en-US"/>
        </w:rPr>
      </w:pPr>
      <w:r w:rsidRPr="002A2AF4">
        <w:rPr>
          <w:sz w:val="24"/>
          <w:lang w:val="en-US"/>
        </w:rPr>
        <w:t xml:space="preserve">Finally, MEOPAR Inc. is guided by both its governance structure including the terms of reference </w:t>
      </w:r>
      <w:r>
        <w:rPr>
          <w:sz w:val="24"/>
          <w:lang w:val="en-US"/>
        </w:rPr>
        <w:t>of</w:t>
      </w:r>
      <w:r w:rsidRPr="002A2AF4">
        <w:rPr>
          <w:sz w:val="24"/>
          <w:lang w:val="en-US"/>
        </w:rPr>
        <w:t xml:space="preserve"> the various Board committees and its by-laws at time of incorporation which are also annexed to this plan.</w:t>
      </w:r>
    </w:p>
    <w:p w:rsidR="00692C11" w:rsidRPr="00692C11" w:rsidRDefault="00255AC2" w:rsidP="002A2AF4">
      <w:pPr>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t>The</w:t>
      </w:r>
      <w:r w:rsidR="00692C11" w:rsidRPr="00692C11">
        <w:rPr>
          <w:rFonts w:asciiTheme="majorHAnsi" w:eastAsiaTheme="majorEastAsia" w:hAnsiTheme="majorHAnsi" w:cstheme="majorBidi"/>
          <w:b/>
          <w:bCs/>
          <w:color w:val="365F91" w:themeColor="accent1" w:themeShade="BF"/>
          <w:sz w:val="28"/>
          <w:szCs w:val="28"/>
          <w:lang w:val="en-US"/>
        </w:rPr>
        <w:t xml:space="preserve"> Context for MEOPAR</w:t>
      </w:r>
    </w:p>
    <w:p w:rsidR="002E0B7D" w:rsidRDefault="002E0B7D" w:rsidP="00255AC2">
      <w:pPr>
        <w:autoSpaceDE w:val="0"/>
        <w:autoSpaceDN w:val="0"/>
        <w:adjustRightInd w:val="0"/>
        <w:spacing w:after="0" w:line="240" w:lineRule="auto"/>
        <w:contextualSpacing/>
        <w:rPr>
          <w:rFonts w:eastAsia="Cambria" w:cstheme="minorHAnsi"/>
          <w:sz w:val="24"/>
          <w:szCs w:val="24"/>
          <w:lang w:val="en-US"/>
        </w:rPr>
      </w:pPr>
      <w:bookmarkStart w:id="0" w:name="_Toc171577966"/>
      <w:bookmarkStart w:id="1" w:name="_Toc172096854"/>
    </w:p>
    <w:p w:rsidR="00692C11" w:rsidRPr="00692C11" w:rsidRDefault="00692C11" w:rsidP="00255AC2">
      <w:pPr>
        <w:autoSpaceDE w:val="0"/>
        <w:autoSpaceDN w:val="0"/>
        <w:adjustRightInd w:val="0"/>
        <w:spacing w:after="0" w:line="240" w:lineRule="auto"/>
        <w:contextualSpacing/>
        <w:rPr>
          <w:rFonts w:eastAsia="Cambria" w:cstheme="minorHAnsi"/>
          <w:sz w:val="24"/>
          <w:szCs w:val="24"/>
          <w:lang w:val="en-US"/>
        </w:rPr>
      </w:pPr>
      <w:r w:rsidRPr="00692C11">
        <w:rPr>
          <w:rFonts w:eastAsia="Cambria" w:cstheme="minorHAnsi"/>
          <w:sz w:val="24"/>
          <w:szCs w:val="24"/>
          <w:lang w:val="en-US"/>
        </w:rPr>
        <w:t>Changing Risk Patterns</w:t>
      </w:r>
    </w:p>
    <w:p w:rsidR="00692C11" w:rsidRPr="00692C11" w:rsidRDefault="00692C11" w:rsidP="00692C11">
      <w:pPr>
        <w:autoSpaceDE w:val="0"/>
        <w:autoSpaceDN w:val="0"/>
        <w:adjustRightInd w:val="0"/>
        <w:spacing w:after="0" w:line="240" w:lineRule="auto"/>
        <w:rPr>
          <w:rFonts w:cstheme="minorHAnsi"/>
          <w:sz w:val="24"/>
          <w:szCs w:val="24"/>
          <w:lang w:val="en-US"/>
        </w:rPr>
      </w:pPr>
    </w:p>
    <w:p w:rsidR="00692C11" w:rsidRPr="00692C11" w:rsidRDefault="00692C11" w:rsidP="00692C11">
      <w:pPr>
        <w:autoSpaceDE w:val="0"/>
        <w:autoSpaceDN w:val="0"/>
        <w:adjustRightInd w:val="0"/>
        <w:spacing w:after="0" w:line="240" w:lineRule="auto"/>
        <w:rPr>
          <w:rFonts w:cstheme="minorHAnsi"/>
          <w:sz w:val="24"/>
          <w:szCs w:val="24"/>
          <w:lang w:val="en-US"/>
        </w:rPr>
      </w:pPr>
      <w:r w:rsidRPr="00692C11">
        <w:rPr>
          <w:rFonts w:cstheme="minorHAnsi"/>
          <w:sz w:val="24"/>
          <w:szCs w:val="24"/>
          <w:lang w:val="en-US"/>
        </w:rPr>
        <w:t xml:space="preserve">The marine environment has always presented humankind with </w:t>
      </w:r>
      <w:r w:rsidR="003D1679">
        <w:rPr>
          <w:rFonts w:cstheme="minorHAnsi"/>
          <w:sz w:val="24"/>
          <w:szCs w:val="24"/>
          <w:lang w:val="en-US"/>
        </w:rPr>
        <w:t>great economic opportunities coupled to major risks. It remains</w:t>
      </w:r>
      <w:r w:rsidRPr="00692C11">
        <w:rPr>
          <w:rFonts w:cstheme="minorHAnsi"/>
          <w:sz w:val="24"/>
          <w:szCs w:val="24"/>
          <w:lang w:val="en-US"/>
        </w:rPr>
        <w:t xml:space="preserve"> the most dangerous place on Earth to extract resources, and amongst the most difficult environments on Earth for transportation, construction and human development. </w:t>
      </w:r>
      <w:r w:rsidR="003D1679">
        <w:rPr>
          <w:rFonts w:cstheme="minorHAnsi"/>
          <w:sz w:val="24"/>
          <w:szCs w:val="24"/>
          <w:lang w:val="en-US"/>
        </w:rPr>
        <w:t>Because of this</w:t>
      </w:r>
      <w:r w:rsidRPr="00692C11">
        <w:rPr>
          <w:rFonts w:cstheme="minorHAnsi"/>
          <w:sz w:val="24"/>
          <w:szCs w:val="24"/>
          <w:lang w:val="en-US"/>
        </w:rPr>
        <w:t xml:space="preserve">, </w:t>
      </w:r>
      <w:r w:rsidR="003D1679">
        <w:rPr>
          <w:rFonts w:cstheme="minorHAnsi"/>
          <w:sz w:val="24"/>
          <w:szCs w:val="24"/>
          <w:lang w:val="en-US"/>
        </w:rPr>
        <w:t>the ocean</w:t>
      </w:r>
      <w:r w:rsidRPr="00692C11">
        <w:rPr>
          <w:rFonts w:cstheme="minorHAnsi"/>
          <w:sz w:val="24"/>
          <w:szCs w:val="24"/>
          <w:lang w:val="en-US"/>
        </w:rPr>
        <w:t xml:space="preserve"> has played host to a long series of accidents and disasters</w:t>
      </w:r>
      <w:r w:rsidR="003D1679">
        <w:rPr>
          <w:rFonts w:cstheme="minorHAnsi"/>
          <w:sz w:val="24"/>
          <w:szCs w:val="24"/>
          <w:lang w:val="en-US"/>
        </w:rPr>
        <w:t xml:space="preserve"> throughout history</w:t>
      </w:r>
      <w:r w:rsidRPr="00692C11">
        <w:rPr>
          <w:rFonts w:cstheme="minorHAnsi"/>
          <w:sz w:val="24"/>
          <w:szCs w:val="24"/>
          <w:lang w:val="en-US"/>
        </w:rPr>
        <w:t xml:space="preserve">. </w:t>
      </w:r>
      <w:r w:rsidR="003D1679">
        <w:rPr>
          <w:rFonts w:cstheme="minorHAnsi"/>
          <w:sz w:val="24"/>
          <w:szCs w:val="24"/>
          <w:lang w:val="en-US"/>
        </w:rPr>
        <w:t xml:space="preserve">However our present relationship with the ocean is impacted by the </w:t>
      </w:r>
      <w:r w:rsidRPr="00692C11">
        <w:rPr>
          <w:rFonts w:cstheme="minorHAnsi"/>
          <w:sz w:val="24"/>
          <w:szCs w:val="24"/>
          <w:lang w:val="en-US"/>
        </w:rPr>
        <w:t xml:space="preserve">confluence of two </w:t>
      </w:r>
      <w:r w:rsidR="003D1679">
        <w:rPr>
          <w:rFonts w:cstheme="minorHAnsi"/>
          <w:sz w:val="24"/>
          <w:szCs w:val="24"/>
          <w:lang w:val="en-US"/>
        </w:rPr>
        <w:t>“</w:t>
      </w:r>
      <w:r w:rsidRPr="00692C11">
        <w:rPr>
          <w:rFonts w:cstheme="minorHAnsi"/>
          <w:sz w:val="24"/>
          <w:szCs w:val="24"/>
          <w:lang w:val="en-US"/>
        </w:rPr>
        <w:t>rivers of change</w:t>
      </w:r>
      <w:r w:rsidR="003D1679">
        <w:rPr>
          <w:rFonts w:cstheme="minorHAnsi"/>
          <w:sz w:val="24"/>
          <w:szCs w:val="24"/>
          <w:lang w:val="en-US"/>
        </w:rPr>
        <w:t>”:</w:t>
      </w:r>
      <w:r w:rsidRPr="00692C11">
        <w:rPr>
          <w:rFonts w:cstheme="minorHAnsi"/>
          <w:sz w:val="24"/>
          <w:szCs w:val="24"/>
          <w:lang w:val="en-US"/>
        </w:rPr>
        <w:t xml:space="preserve"> environmental change on the one hand and changing economic and societal use of the marine enviro</w:t>
      </w:r>
      <w:r w:rsidR="00255AC2">
        <w:rPr>
          <w:rFonts w:cstheme="minorHAnsi"/>
          <w:sz w:val="24"/>
          <w:szCs w:val="24"/>
          <w:lang w:val="en-US"/>
        </w:rPr>
        <w:t>nment on the other (see Figure S1</w:t>
      </w:r>
      <w:r w:rsidRPr="00692C11">
        <w:rPr>
          <w:rFonts w:cstheme="minorHAnsi"/>
          <w:sz w:val="24"/>
          <w:szCs w:val="24"/>
          <w:lang w:val="en-US"/>
        </w:rPr>
        <w:t>).</w:t>
      </w:r>
    </w:p>
    <w:p w:rsidR="00692C11" w:rsidRPr="00692C11" w:rsidRDefault="00692C11" w:rsidP="00692C11">
      <w:pPr>
        <w:autoSpaceDE w:val="0"/>
        <w:autoSpaceDN w:val="0"/>
        <w:adjustRightInd w:val="0"/>
        <w:spacing w:after="0" w:line="240" w:lineRule="auto"/>
        <w:rPr>
          <w:rFonts w:cstheme="minorHAnsi"/>
          <w:noProof/>
          <w:szCs w:val="20"/>
          <w:lang w:val="en-US" w:eastAsia="de-DE"/>
        </w:rPr>
      </w:pPr>
      <w:bookmarkStart w:id="2" w:name="_Toc171248658"/>
      <w:bookmarkStart w:id="3" w:name="_Toc172096855"/>
      <w:bookmarkEnd w:id="0"/>
      <w:bookmarkEnd w:id="1"/>
    </w:p>
    <w:p w:rsidR="00692C11" w:rsidRPr="00692C11" w:rsidRDefault="00692C11" w:rsidP="00692C11">
      <w:pPr>
        <w:autoSpaceDE w:val="0"/>
        <w:autoSpaceDN w:val="0"/>
        <w:adjustRightInd w:val="0"/>
        <w:spacing w:after="0" w:line="240" w:lineRule="auto"/>
        <w:rPr>
          <w:rFonts w:cstheme="minorHAnsi"/>
          <w:noProof/>
          <w:szCs w:val="20"/>
          <w:lang w:eastAsia="de-DE"/>
        </w:rPr>
      </w:pPr>
      <w:r w:rsidRPr="00692C11">
        <w:rPr>
          <w:rFonts w:cstheme="minorHAnsi"/>
          <w:noProof/>
          <w:szCs w:val="20"/>
          <w:lang w:val="en-US"/>
        </w:rPr>
        <w:drawing>
          <wp:inline distT="0" distB="0" distL="0" distR="0">
            <wp:extent cx="5133136" cy="36991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5687" b="7583"/>
                    <a:stretch/>
                  </pic:blipFill>
                  <pic:spPr bwMode="auto">
                    <a:xfrm>
                      <a:off x="0" y="0"/>
                      <a:ext cx="5143469" cy="3706611"/>
                    </a:xfrm>
                    <a:prstGeom prst="rect">
                      <a:avLst/>
                    </a:prstGeom>
                    <a:noFill/>
                    <a:ln>
                      <a:noFill/>
                    </a:ln>
                    <a:extLst>
                      <a:ext uri="{53640926-AAD7-44D8-BBD7-CCE9431645EC}">
                        <a14:shadowObscured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p w:rsidR="00692C11" w:rsidRPr="00692C11" w:rsidRDefault="00692C11" w:rsidP="00692C11">
      <w:pPr>
        <w:autoSpaceDE w:val="0"/>
        <w:autoSpaceDN w:val="0"/>
        <w:adjustRightInd w:val="0"/>
        <w:spacing w:after="0" w:line="240" w:lineRule="auto"/>
        <w:rPr>
          <w:rFonts w:cstheme="minorHAnsi"/>
          <w:noProof/>
          <w:szCs w:val="20"/>
          <w:lang w:eastAsia="de-DE"/>
        </w:rPr>
      </w:pPr>
    </w:p>
    <w:p w:rsidR="00692C11" w:rsidRPr="00AB2953" w:rsidRDefault="00692C11" w:rsidP="00692C11">
      <w:pPr>
        <w:autoSpaceDE w:val="0"/>
        <w:autoSpaceDN w:val="0"/>
        <w:adjustRightInd w:val="0"/>
        <w:spacing w:after="0" w:line="240" w:lineRule="auto"/>
        <w:rPr>
          <w:i/>
          <w:sz w:val="24"/>
          <w:lang w:val="en-US"/>
        </w:rPr>
      </w:pPr>
      <w:r w:rsidRPr="00AB2953">
        <w:rPr>
          <w:i/>
          <w:sz w:val="24"/>
          <w:lang w:val="en-US"/>
        </w:rPr>
        <w:t xml:space="preserve">Figure S1. The societal, environmental and economic context for MEOPAR. </w:t>
      </w:r>
    </w:p>
    <w:p w:rsidR="00692C11" w:rsidRPr="00692C11" w:rsidRDefault="00692C11" w:rsidP="00692C11">
      <w:pPr>
        <w:autoSpaceDE w:val="0"/>
        <w:autoSpaceDN w:val="0"/>
        <w:adjustRightInd w:val="0"/>
        <w:spacing w:after="0" w:line="240" w:lineRule="auto"/>
        <w:rPr>
          <w:sz w:val="24"/>
          <w:lang w:val="en-US"/>
        </w:rPr>
      </w:pPr>
    </w:p>
    <w:p w:rsidR="00692C11" w:rsidRPr="00692C11" w:rsidRDefault="003D1679" w:rsidP="00692C11">
      <w:pPr>
        <w:autoSpaceDE w:val="0"/>
        <w:autoSpaceDN w:val="0"/>
        <w:adjustRightInd w:val="0"/>
        <w:spacing w:after="0" w:line="240" w:lineRule="auto"/>
        <w:rPr>
          <w:b/>
          <w:sz w:val="24"/>
          <w:lang w:val="en-US"/>
        </w:rPr>
      </w:pPr>
      <w:r>
        <w:rPr>
          <w:sz w:val="24"/>
          <w:lang w:val="en-US"/>
        </w:rPr>
        <w:t>A</w:t>
      </w:r>
      <w:r w:rsidR="00692C11" w:rsidRPr="00692C11">
        <w:rPr>
          <w:sz w:val="24"/>
          <w:lang w:val="en-US"/>
        </w:rPr>
        <w:t xml:space="preserve"> rapid and worldwide change in the economic use of the ocean</w:t>
      </w:r>
      <w:r w:rsidR="009C5DA0">
        <w:rPr>
          <w:sz w:val="24"/>
          <w:lang w:val="en-US"/>
        </w:rPr>
        <w:t xml:space="preserve"> is</w:t>
      </w:r>
      <w:r w:rsidR="00692C11" w:rsidRPr="00692C11">
        <w:rPr>
          <w:sz w:val="24"/>
          <w:lang w:val="en-US"/>
        </w:rPr>
        <w:t xml:space="preserve"> underway, including </w:t>
      </w:r>
      <w:r>
        <w:rPr>
          <w:sz w:val="24"/>
          <w:lang w:val="en-US"/>
        </w:rPr>
        <w:t xml:space="preserve">the </w:t>
      </w:r>
      <w:r w:rsidR="00692C11" w:rsidRPr="00692C11">
        <w:rPr>
          <w:sz w:val="24"/>
          <w:lang w:val="en-US"/>
        </w:rPr>
        <w:t xml:space="preserve">introduction of fundamentally new uses (e.g. </w:t>
      </w:r>
      <w:r>
        <w:rPr>
          <w:sz w:val="24"/>
          <w:lang w:val="en-US"/>
        </w:rPr>
        <w:t xml:space="preserve">cruise ships in the Arctic; </w:t>
      </w:r>
      <w:r w:rsidR="00692C11" w:rsidRPr="00692C11">
        <w:rPr>
          <w:sz w:val="24"/>
          <w:lang w:val="en-US"/>
        </w:rPr>
        <w:t>eve</w:t>
      </w:r>
      <w:r>
        <w:rPr>
          <w:sz w:val="24"/>
          <w:lang w:val="en-US"/>
        </w:rPr>
        <w:t>r deeper search for oil</w:t>
      </w:r>
      <w:r w:rsidR="00692C11" w:rsidRPr="00692C11">
        <w:rPr>
          <w:sz w:val="24"/>
          <w:lang w:val="en-US"/>
        </w:rPr>
        <w:t>; deliberate manipulation of ecosystems</w:t>
      </w:r>
      <w:r>
        <w:rPr>
          <w:sz w:val="24"/>
          <w:lang w:val="en-US"/>
        </w:rPr>
        <w:t xml:space="preserve"> or geoengineering</w:t>
      </w:r>
      <w:r w:rsidR="00692C11" w:rsidRPr="00692C11">
        <w:rPr>
          <w:sz w:val="24"/>
          <w:lang w:val="en-US"/>
        </w:rPr>
        <w:t>). On the other hand, the oceans themselves are changing, both as a r</w:t>
      </w:r>
      <w:r>
        <w:rPr>
          <w:sz w:val="24"/>
          <w:lang w:val="en-US"/>
        </w:rPr>
        <w:t>esult of natural variability and</w:t>
      </w:r>
      <w:r w:rsidR="00692C11" w:rsidRPr="00692C11">
        <w:rPr>
          <w:sz w:val="24"/>
          <w:lang w:val="en-US"/>
        </w:rPr>
        <w:t xml:space="preserve"> increasingly, at local, regional and global scales, as a result of human activities. </w:t>
      </w:r>
      <w:r>
        <w:rPr>
          <w:sz w:val="24"/>
          <w:lang w:val="en-US"/>
        </w:rPr>
        <w:t>As a result</w:t>
      </w:r>
      <w:r w:rsidR="00692C11" w:rsidRPr="00692C11">
        <w:rPr>
          <w:sz w:val="24"/>
          <w:lang w:val="en-US"/>
        </w:rPr>
        <w:t xml:space="preserve"> we are facing </w:t>
      </w:r>
      <w:r w:rsidR="00692C11" w:rsidRPr="00692C11">
        <w:rPr>
          <w:i/>
          <w:sz w:val="24"/>
          <w:lang w:val="en-US"/>
        </w:rPr>
        <w:t>new patterns of risk</w:t>
      </w:r>
      <w:r w:rsidR="00692C11" w:rsidRPr="00692C11">
        <w:rPr>
          <w:sz w:val="24"/>
          <w:lang w:val="en-US"/>
        </w:rPr>
        <w:t xml:space="preserve"> from existing hazards </w:t>
      </w:r>
      <w:r>
        <w:rPr>
          <w:sz w:val="24"/>
          <w:lang w:val="en-US"/>
        </w:rPr>
        <w:t>and</w:t>
      </w:r>
      <w:r w:rsidR="00692C11" w:rsidRPr="00692C11">
        <w:rPr>
          <w:sz w:val="24"/>
          <w:lang w:val="en-US"/>
        </w:rPr>
        <w:t xml:space="preserve"> </w:t>
      </w:r>
      <w:r w:rsidR="00692C11" w:rsidRPr="00692C11">
        <w:rPr>
          <w:i/>
          <w:sz w:val="24"/>
          <w:lang w:val="en-US"/>
        </w:rPr>
        <w:t>fundamentally new hazards</w:t>
      </w:r>
      <w:r w:rsidR="00692C11" w:rsidRPr="00692C11">
        <w:rPr>
          <w:sz w:val="24"/>
          <w:lang w:val="en-US"/>
        </w:rPr>
        <w:t xml:space="preserve"> that we have not had to deal with before.</w:t>
      </w:r>
    </w:p>
    <w:p w:rsidR="00692C11" w:rsidRPr="00692C11" w:rsidRDefault="00692C11" w:rsidP="00692C11">
      <w:pPr>
        <w:spacing w:before="100" w:beforeAutospacing="1" w:after="100" w:afterAutospacing="1" w:line="240" w:lineRule="auto"/>
        <w:outlineLvl w:val="2"/>
        <w:rPr>
          <w:sz w:val="24"/>
          <w:lang w:val="en-US"/>
        </w:rPr>
      </w:pPr>
      <w:r w:rsidRPr="00692C11">
        <w:rPr>
          <w:sz w:val="24"/>
          <w:lang w:val="en-US"/>
        </w:rPr>
        <w:t xml:space="preserve">The MEOPAR Network </w:t>
      </w:r>
      <w:r w:rsidR="003B33A8">
        <w:rPr>
          <w:sz w:val="24"/>
          <w:lang w:val="en-US"/>
        </w:rPr>
        <w:t>recogniz</w:t>
      </w:r>
      <w:r w:rsidR="003D1679">
        <w:rPr>
          <w:sz w:val="24"/>
          <w:lang w:val="en-US"/>
        </w:rPr>
        <w:t>es</w:t>
      </w:r>
      <w:r w:rsidR="003B33A8">
        <w:rPr>
          <w:sz w:val="24"/>
          <w:lang w:val="en-US"/>
        </w:rPr>
        <w:t xml:space="preserve"> that, given these</w:t>
      </w:r>
      <w:r w:rsidR="007A6EE0">
        <w:rPr>
          <w:sz w:val="24"/>
          <w:lang w:val="en-US"/>
        </w:rPr>
        <w:t xml:space="preserve"> change</w:t>
      </w:r>
      <w:r w:rsidR="003B33A8">
        <w:rPr>
          <w:sz w:val="24"/>
          <w:lang w:val="en-US"/>
        </w:rPr>
        <w:t>s</w:t>
      </w:r>
      <w:r w:rsidRPr="00692C11">
        <w:rPr>
          <w:sz w:val="24"/>
          <w:lang w:val="en-US"/>
        </w:rPr>
        <w:t>, it is not sufficient to base policy and planning on the risks of the past or</w:t>
      </w:r>
      <w:r w:rsidR="007A6EE0">
        <w:rPr>
          <w:sz w:val="24"/>
          <w:lang w:val="en-US"/>
        </w:rPr>
        <w:t xml:space="preserve"> even</w:t>
      </w:r>
      <w:r w:rsidRPr="00692C11">
        <w:rPr>
          <w:sz w:val="24"/>
          <w:lang w:val="en-US"/>
        </w:rPr>
        <w:t xml:space="preserve"> today. </w:t>
      </w:r>
      <w:r w:rsidR="003B33A8">
        <w:rPr>
          <w:sz w:val="24"/>
          <w:lang w:val="en-US"/>
        </w:rPr>
        <w:t xml:space="preserve">Rather </w:t>
      </w:r>
      <w:r w:rsidRPr="00692C11">
        <w:rPr>
          <w:sz w:val="24"/>
          <w:lang w:val="en-US"/>
        </w:rPr>
        <w:t xml:space="preserve">Canada </w:t>
      </w:r>
      <w:r w:rsidR="003B33A8">
        <w:rPr>
          <w:sz w:val="24"/>
          <w:lang w:val="en-US"/>
        </w:rPr>
        <w:t>must</w:t>
      </w:r>
      <w:r w:rsidRPr="00692C11">
        <w:rPr>
          <w:sz w:val="24"/>
          <w:lang w:val="en-US"/>
        </w:rPr>
        <w:t xml:space="preserve"> anticipate and prepare for the emerging risks of the future. Preparedness and resilience</w:t>
      </w:r>
      <w:r w:rsidR="003D1679">
        <w:rPr>
          <w:sz w:val="24"/>
          <w:lang w:val="en-US"/>
        </w:rPr>
        <w:t>, in turn,</w:t>
      </w:r>
      <w:r w:rsidRPr="00692C11">
        <w:rPr>
          <w:sz w:val="24"/>
          <w:lang w:val="en-US"/>
        </w:rPr>
        <w:t xml:space="preserve"> </w:t>
      </w:r>
      <w:r w:rsidR="003B33A8">
        <w:rPr>
          <w:sz w:val="24"/>
          <w:lang w:val="en-US"/>
        </w:rPr>
        <w:t>will require</w:t>
      </w:r>
      <w:r w:rsidRPr="00692C11">
        <w:rPr>
          <w:sz w:val="24"/>
          <w:lang w:val="en-US"/>
        </w:rPr>
        <w:t xml:space="preserve"> a</w:t>
      </w:r>
      <w:r w:rsidR="003D1679">
        <w:rPr>
          <w:sz w:val="24"/>
          <w:lang w:val="en-US"/>
        </w:rPr>
        <w:t>n</w:t>
      </w:r>
      <w:r w:rsidRPr="00692C11">
        <w:rPr>
          <w:sz w:val="24"/>
          <w:lang w:val="en-US"/>
        </w:rPr>
        <w:t xml:space="preserve"> approach that addresses not only</w:t>
      </w:r>
      <w:r w:rsidR="003B33A8">
        <w:rPr>
          <w:sz w:val="24"/>
          <w:lang w:val="en-US"/>
        </w:rPr>
        <w:t xml:space="preserve"> technology and</w:t>
      </w:r>
      <w:r w:rsidRPr="00692C11">
        <w:rPr>
          <w:sz w:val="24"/>
          <w:lang w:val="en-US"/>
        </w:rPr>
        <w:t xml:space="preserve"> the physical environment</w:t>
      </w:r>
      <w:r w:rsidR="003D1679">
        <w:rPr>
          <w:sz w:val="24"/>
          <w:lang w:val="en-US"/>
        </w:rPr>
        <w:t>,</w:t>
      </w:r>
      <w:r w:rsidRPr="00692C11">
        <w:rPr>
          <w:sz w:val="24"/>
          <w:lang w:val="en-US"/>
        </w:rPr>
        <w:t xml:space="preserve"> but also human interactions and economic relationships with the broader natural environment. </w:t>
      </w:r>
    </w:p>
    <w:p w:rsidR="00692C11" w:rsidRDefault="00692C11" w:rsidP="00692C11">
      <w:pPr>
        <w:spacing w:before="100" w:beforeAutospacing="1" w:after="100" w:afterAutospacing="1" w:line="240" w:lineRule="auto"/>
        <w:outlineLvl w:val="2"/>
        <w:rPr>
          <w:sz w:val="24"/>
          <w:lang w:val="en-US"/>
        </w:rPr>
      </w:pPr>
      <w:r w:rsidRPr="00692C11">
        <w:rPr>
          <w:sz w:val="24"/>
          <w:lang w:val="en-US"/>
        </w:rPr>
        <w:t xml:space="preserve">MEOPAR also recognizes that the ongoing </w:t>
      </w:r>
      <w:r w:rsidR="007A6EE0">
        <w:rPr>
          <w:sz w:val="24"/>
          <w:lang w:val="en-US"/>
        </w:rPr>
        <w:t>change</w:t>
      </w:r>
      <w:r w:rsidR="003B33A8">
        <w:rPr>
          <w:sz w:val="24"/>
          <w:lang w:val="en-US"/>
        </w:rPr>
        <w:t>s</w:t>
      </w:r>
      <w:r w:rsidRPr="00692C11">
        <w:rPr>
          <w:sz w:val="24"/>
          <w:lang w:val="en-US"/>
        </w:rPr>
        <w:t xml:space="preserve"> </w:t>
      </w:r>
      <w:r w:rsidR="003B33A8">
        <w:rPr>
          <w:sz w:val="24"/>
          <w:lang w:val="en-US"/>
        </w:rPr>
        <w:t>present</w:t>
      </w:r>
      <w:r w:rsidRPr="00692C11">
        <w:rPr>
          <w:sz w:val="24"/>
          <w:lang w:val="en-US"/>
        </w:rPr>
        <w:t xml:space="preserve"> economi</w:t>
      </w:r>
      <w:r w:rsidR="003B33A8">
        <w:rPr>
          <w:sz w:val="24"/>
          <w:lang w:val="en-US"/>
        </w:rPr>
        <w:t>c opportunities</w:t>
      </w:r>
      <w:r w:rsidRPr="00692C11">
        <w:rPr>
          <w:sz w:val="24"/>
          <w:lang w:val="en-US"/>
        </w:rPr>
        <w:t xml:space="preserve">, both through </w:t>
      </w:r>
      <w:r w:rsidR="003B33A8">
        <w:rPr>
          <w:sz w:val="24"/>
          <w:lang w:val="en-US"/>
        </w:rPr>
        <w:t xml:space="preserve">the </w:t>
      </w:r>
      <w:r w:rsidR="007A6EE0">
        <w:rPr>
          <w:sz w:val="24"/>
          <w:lang w:val="en-US"/>
        </w:rPr>
        <w:t xml:space="preserve">development of </w:t>
      </w:r>
      <w:r w:rsidRPr="00692C11">
        <w:rPr>
          <w:sz w:val="24"/>
          <w:lang w:val="en-US"/>
        </w:rPr>
        <w:t xml:space="preserve">approaches that make economic uses of the ocean less risk-prone as well as through development and marketing of tools and techniques that can be used to </w:t>
      </w:r>
      <w:r w:rsidR="007A6EE0">
        <w:rPr>
          <w:sz w:val="24"/>
          <w:lang w:val="en-US"/>
        </w:rPr>
        <w:t xml:space="preserve">better </w:t>
      </w:r>
      <w:r w:rsidRPr="00692C11">
        <w:rPr>
          <w:sz w:val="24"/>
          <w:lang w:val="en-US"/>
        </w:rPr>
        <w:t>observe, predict and respond</w:t>
      </w:r>
      <w:r w:rsidR="007A6EE0">
        <w:rPr>
          <w:sz w:val="24"/>
          <w:lang w:val="en-US"/>
        </w:rPr>
        <w:t>,</w:t>
      </w:r>
      <w:r w:rsidRPr="00692C11">
        <w:rPr>
          <w:sz w:val="24"/>
          <w:lang w:val="en-US"/>
        </w:rPr>
        <w:t xml:space="preserve"> or adapt</w:t>
      </w:r>
      <w:r w:rsidR="007A6EE0">
        <w:rPr>
          <w:sz w:val="24"/>
          <w:lang w:val="en-US"/>
        </w:rPr>
        <w:t>,</w:t>
      </w:r>
      <w:r w:rsidRPr="00692C11">
        <w:rPr>
          <w:sz w:val="24"/>
          <w:lang w:val="en-US"/>
        </w:rPr>
        <w:t xml:space="preserve"> to marine hazards.</w:t>
      </w:r>
    </w:p>
    <w:p w:rsidR="00255AC2" w:rsidRPr="00255AC2" w:rsidRDefault="00255AC2" w:rsidP="002A2AF4">
      <w:pPr>
        <w:pStyle w:val="ListParagraph"/>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sidRPr="00255AC2">
        <w:rPr>
          <w:rFonts w:asciiTheme="majorHAnsi" w:eastAsiaTheme="majorEastAsia" w:hAnsiTheme="majorHAnsi" w:cstheme="majorBidi"/>
          <w:b/>
          <w:bCs/>
          <w:color w:val="365F91" w:themeColor="accent1" w:themeShade="BF"/>
          <w:sz w:val="28"/>
          <w:szCs w:val="28"/>
          <w:lang w:val="en-US"/>
        </w:rPr>
        <w:t>MEOPAR</w:t>
      </w:r>
      <w:r>
        <w:rPr>
          <w:rFonts w:asciiTheme="majorHAnsi" w:eastAsiaTheme="majorEastAsia" w:hAnsiTheme="majorHAnsi" w:cstheme="majorBidi"/>
          <w:b/>
          <w:bCs/>
          <w:color w:val="365F91" w:themeColor="accent1" w:themeShade="BF"/>
          <w:sz w:val="28"/>
          <w:szCs w:val="28"/>
          <w:lang w:val="en-US"/>
        </w:rPr>
        <w:t>’s</w:t>
      </w:r>
      <w:r w:rsidRPr="00255AC2">
        <w:rPr>
          <w:rFonts w:asciiTheme="majorHAnsi" w:eastAsiaTheme="majorEastAsia" w:hAnsiTheme="majorHAnsi" w:cstheme="majorBidi"/>
          <w:b/>
          <w:bCs/>
          <w:color w:val="365F91" w:themeColor="accent1" w:themeShade="BF"/>
          <w:sz w:val="28"/>
          <w:szCs w:val="28"/>
          <w:lang w:val="en-US"/>
        </w:rPr>
        <w:t xml:space="preserve"> Vision and Strategic Outcome</w:t>
      </w:r>
    </w:p>
    <w:p w:rsidR="00255AC2" w:rsidRPr="00692C11" w:rsidRDefault="00255AC2" w:rsidP="00255AC2">
      <w:pPr>
        <w:spacing w:after="0" w:line="240" w:lineRule="auto"/>
        <w:ind w:left="720"/>
        <w:contextualSpacing/>
        <w:rPr>
          <w:rFonts w:ascii="Cambria" w:eastAsia="Cambria" w:hAnsi="Cambria" w:cs="Times New Roman"/>
          <w:i/>
          <w:iCs/>
          <w:color w:val="7F7F7F" w:themeColor="text1" w:themeTint="80"/>
          <w:sz w:val="24"/>
          <w:szCs w:val="24"/>
          <w:lang w:val="en-US"/>
        </w:rPr>
      </w:pPr>
    </w:p>
    <w:p w:rsidR="00255AC2" w:rsidRPr="00692C11" w:rsidRDefault="00255AC2" w:rsidP="006E5B1C">
      <w:pPr>
        <w:spacing w:after="0" w:line="240" w:lineRule="auto"/>
        <w:contextualSpacing/>
        <w:rPr>
          <w:rFonts w:ascii="Cambria" w:eastAsia="Cambria" w:hAnsi="Cambria" w:cs="Times New Roman"/>
          <w:b/>
          <w:i/>
          <w:iCs/>
          <w:sz w:val="24"/>
          <w:szCs w:val="24"/>
          <w:lang w:val="en-US"/>
        </w:rPr>
      </w:pPr>
      <w:r w:rsidRPr="00692C11">
        <w:rPr>
          <w:rFonts w:ascii="Cambria" w:eastAsia="Cambria" w:hAnsi="Cambria" w:cs="Times New Roman"/>
          <w:b/>
          <w:i/>
          <w:iCs/>
          <w:sz w:val="24"/>
          <w:szCs w:val="24"/>
          <w:lang w:val="en-US"/>
        </w:rPr>
        <w:t>Vision – MEOPAR will inspire and enable Canadian leadership in marine environmental observation, prediction and response.</w:t>
      </w:r>
    </w:p>
    <w:p w:rsidR="009C0E08" w:rsidRDefault="009C0E08" w:rsidP="00255AC2">
      <w:pPr>
        <w:spacing w:after="0" w:line="240" w:lineRule="auto"/>
        <w:ind w:left="720"/>
        <w:contextualSpacing/>
        <w:rPr>
          <w:rFonts w:ascii="Cambria" w:eastAsia="Cambria" w:hAnsi="Cambria" w:cs="Times New Roman"/>
          <w:b/>
          <w:i/>
          <w:iCs/>
          <w:sz w:val="24"/>
          <w:szCs w:val="24"/>
          <w:lang w:val="en-US"/>
        </w:rPr>
      </w:pPr>
    </w:p>
    <w:p w:rsidR="00255AC2" w:rsidRPr="00692C11" w:rsidRDefault="00255AC2" w:rsidP="006E5B1C">
      <w:pPr>
        <w:spacing w:after="0" w:line="240" w:lineRule="auto"/>
        <w:contextualSpacing/>
        <w:rPr>
          <w:rFonts w:ascii="Cambria" w:eastAsia="Cambria" w:hAnsi="Cambria" w:cs="Times New Roman"/>
          <w:b/>
          <w:i/>
          <w:iCs/>
          <w:sz w:val="24"/>
          <w:szCs w:val="24"/>
          <w:lang w:val="en-US"/>
        </w:rPr>
      </w:pPr>
      <w:r w:rsidRPr="00692C11">
        <w:rPr>
          <w:rFonts w:ascii="Cambria" w:eastAsia="Cambria" w:hAnsi="Cambria" w:cs="Times New Roman"/>
          <w:b/>
          <w:i/>
          <w:iCs/>
          <w:sz w:val="24"/>
          <w:szCs w:val="24"/>
          <w:lang w:val="en-US"/>
        </w:rPr>
        <w:t>Strategic Outcome – MEOPAR will deliver knowledge, technology, and people to enable Canada’s communities and industry to enhance resilience and economic opportunity through an informed relationship with the changing marine environment.</w:t>
      </w:r>
    </w:p>
    <w:p w:rsidR="0094354A" w:rsidRDefault="00F834F3" w:rsidP="00692C11">
      <w:pPr>
        <w:pStyle w:val="Heading1"/>
        <w:numPr>
          <w:ilvl w:val="0"/>
          <w:numId w:val="1"/>
        </w:numPr>
        <w:ind w:left="360"/>
        <w:rPr>
          <w:rFonts w:eastAsia="Times New Roman"/>
          <w:lang w:val="en-CA"/>
        </w:rPr>
      </w:pPr>
      <w:r>
        <w:rPr>
          <w:rFonts w:eastAsia="Times New Roman"/>
          <w:lang w:val="en-CA"/>
        </w:rPr>
        <w:t>MEOPAR’s Role</w:t>
      </w:r>
    </w:p>
    <w:p w:rsidR="00692C11" w:rsidRPr="0094354A" w:rsidRDefault="00692C11" w:rsidP="0094354A">
      <w:pPr>
        <w:rPr>
          <w:lang w:val="en-CA"/>
        </w:rPr>
      </w:pPr>
    </w:p>
    <w:p w:rsidR="00692C11" w:rsidRDefault="00692C11" w:rsidP="00692C11">
      <w:pPr>
        <w:jc w:val="center"/>
        <w:rPr>
          <w:rFonts w:eastAsia="Times New Roman" w:cstheme="minorHAnsi"/>
          <w:bCs/>
          <w:sz w:val="24"/>
          <w:lang w:val="en-CA"/>
        </w:rPr>
      </w:pPr>
      <w:r w:rsidRPr="00692C11">
        <w:rPr>
          <w:rFonts w:eastAsia="Times New Roman" w:cstheme="minorHAnsi"/>
          <w:bCs/>
          <w:noProof/>
          <w:sz w:val="24"/>
          <w:lang w:val="en-US"/>
        </w:rPr>
        <w:drawing>
          <wp:inline distT="0" distB="0" distL="0" distR="0">
            <wp:extent cx="4333875" cy="2775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3875" cy="2775585"/>
                    </a:xfrm>
                    <a:prstGeom prst="rect">
                      <a:avLst/>
                    </a:prstGeom>
                    <a:noFill/>
                  </pic:spPr>
                </pic:pic>
              </a:graphicData>
            </a:graphic>
          </wp:inline>
        </w:drawing>
      </w:r>
    </w:p>
    <w:p w:rsidR="006E5B1C" w:rsidRDefault="006E5B1C" w:rsidP="00692C11">
      <w:pPr>
        <w:autoSpaceDE w:val="0"/>
        <w:autoSpaceDN w:val="0"/>
        <w:adjustRightInd w:val="0"/>
        <w:spacing w:after="0" w:line="240" w:lineRule="auto"/>
        <w:rPr>
          <w:sz w:val="24"/>
          <w:lang w:val="en-US"/>
        </w:rPr>
      </w:pPr>
    </w:p>
    <w:p w:rsidR="00692C11" w:rsidRPr="00AB2953" w:rsidRDefault="00692C11" w:rsidP="00692C11">
      <w:pPr>
        <w:autoSpaceDE w:val="0"/>
        <w:autoSpaceDN w:val="0"/>
        <w:adjustRightInd w:val="0"/>
        <w:spacing w:after="0" w:line="240" w:lineRule="auto"/>
        <w:rPr>
          <w:i/>
          <w:sz w:val="24"/>
          <w:lang w:val="en-US"/>
        </w:rPr>
      </w:pPr>
      <w:r w:rsidRPr="00AB2953">
        <w:rPr>
          <w:i/>
          <w:sz w:val="24"/>
          <w:lang w:val="en-US"/>
        </w:rPr>
        <w:t>Figure S2. MEOPAR</w:t>
      </w:r>
      <w:r w:rsidR="00E441FF" w:rsidRPr="00AB2953">
        <w:rPr>
          <w:i/>
          <w:sz w:val="24"/>
          <w:lang w:val="en-US"/>
        </w:rPr>
        <w:t>’s research will involve multi-sectoral partnerships.</w:t>
      </w:r>
      <w:r w:rsidRPr="00AB2953">
        <w:rPr>
          <w:i/>
          <w:sz w:val="24"/>
          <w:lang w:val="en-US"/>
        </w:rPr>
        <w:t xml:space="preserve"> </w:t>
      </w:r>
    </w:p>
    <w:p w:rsidR="00692C11" w:rsidRDefault="00692C11" w:rsidP="00692C11">
      <w:pPr>
        <w:rPr>
          <w:rFonts w:eastAsia="Times New Roman" w:cstheme="minorHAnsi"/>
          <w:bCs/>
          <w:sz w:val="24"/>
          <w:lang w:val="en-CA"/>
        </w:rPr>
      </w:pPr>
    </w:p>
    <w:p w:rsidR="00692C11" w:rsidRPr="00692C11" w:rsidRDefault="00692C11" w:rsidP="00692C11">
      <w:pPr>
        <w:rPr>
          <w:rFonts w:eastAsia="Times New Roman" w:cstheme="minorHAnsi"/>
          <w:bCs/>
          <w:sz w:val="24"/>
          <w:lang w:val="en-CA"/>
        </w:rPr>
      </w:pPr>
      <w:r w:rsidRPr="00692C11">
        <w:rPr>
          <w:rFonts w:eastAsia="Times New Roman" w:cstheme="minorHAnsi"/>
          <w:bCs/>
          <w:sz w:val="24"/>
          <w:lang w:val="en-CA"/>
        </w:rPr>
        <w:t xml:space="preserve">Canada, being bordered by three oceans and with the world’s longest coastline, faces unique geographical challenges for establishing </w:t>
      </w:r>
      <w:r w:rsidR="00255AC2">
        <w:rPr>
          <w:rFonts w:eastAsia="Times New Roman" w:cstheme="minorHAnsi"/>
          <w:bCs/>
          <w:sz w:val="24"/>
          <w:lang w:val="en-CA"/>
        </w:rPr>
        <w:t xml:space="preserve">marine </w:t>
      </w:r>
      <w:r w:rsidRPr="00692C11">
        <w:rPr>
          <w:rFonts w:eastAsia="Times New Roman" w:cstheme="minorHAnsi"/>
          <w:bCs/>
          <w:sz w:val="24"/>
          <w:lang w:val="en-CA"/>
        </w:rPr>
        <w:t>observation, prediction and re</w:t>
      </w:r>
      <w:r w:rsidR="00255AC2">
        <w:rPr>
          <w:rFonts w:eastAsia="Times New Roman" w:cstheme="minorHAnsi"/>
          <w:bCs/>
          <w:sz w:val="24"/>
          <w:lang w:val="en-CA"/>
        </w:rPr>
        <w:t>sponse capability</w:t>
      </w:r>
      <w:r w:rsidRPr="00692C11">
        <w:rPr>
          <w:rFonts w:eastAsia="Times New Roman" w:cstheme="minorHAnsi"/>
          <w:bCs/>
          <w:sz w:val="24"/>
          <w:lang w:val="en-CA"/>
        </w:rPr>
        <w:t>. With a rapidly changing ocean, most spectacularly to the North, as well as growing offshore and deepwater oil and gas activity, changing shipping patterns and a rapidly changing fishery and aquaculture industry, Canada’s marine environment</w:t>
      </w:r>
      <w:r w:rsidR="00255AC2">
        <w:rPr>
          <w:rFonts w:eastAsia="Times New Roman" w:cstheme="minorHAnsi"/>
          <w:bCs/>
          <w:sz w:val="24"/>
          <w:lang w:val="en-CA"/>
        </w:rPr>
        <w:t xml:space="preserve"> and economy faces a </w:t>
      </w:r>
      <w:r w:rsidRPr="00692C11">
        <w:rPr>
          <w:rFonts w:eastAsia="Times New Roman" w:cstheme="minorHAnsi"/>
          <w:bCs/>
          <w:sz w:val="24"/>
          <w:lang w:val="en-CA"/>
        </w:rPr>
        <w:t xml:space="preserve">broad array of change. </w:t>
      </w:r>
    </w:p>
    <w:p w:rsidR="00255AC2" w:rsidRDefault="00D42BC1" w:rsidP="00692C11">
      <w:pPr>
        <w:rPr>
          <w:rFonts w:eastAsia="Times New Roman" w:cstheme="minorHAnsi"/>
          <w:bCs/>
          <w:sz w:val="24"/>
          <w:lang w:val="en-CA"/>
        </w:rPr>
      </w:pPr>
      <w:r w:rsidRPr="00D42BC1">
        <w:rPr>
          <w:rFonts w:eastAsia="Times New Roman" w:cstheme="minorHAnsi"/>
          <w:b/>
          <w:bCs/>
          <w:i/>
          <w:noProof/>
          <w:sz w:val="24"/>
          <w:lang w:val="en-US"/>
        </w:rPr>
        <w:pict>
          <v:shapetype id="_x0000_t202" coordsize="21600,21600" o:spt="202" path="m0,0l0,21600,21600,21600,21600,0xe">
            <v:stroke joinstyle="miter"/>
            <v:path gradientshapeok="t" o:connecttype="rect"/>
          </v:shapetype>
          <v:shape id="Text Box 2" o:spid="_x0000_s1026" type="#_x0000_t202" style="position:absolute;margin-left:35.15pt;margin-top:99.9pt;width:378pt;height:157.1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">
            <v:textbox style="mso-fit-shape-to-text:t">
              <w:txbxContent>
                <w:p w:rsidR="00842BAE" w:rsidRDefault="00842BAE">
                  <w:pPr>
                    <w:rPr>
                      <w:rFonts w:eastAsia="Times New Roman" w:cstheme="minorHAnsi"/>
                      <w:b/>
                      <w:bCs/>
                      <w:i/>
                      <w:sz w:val="24"/>
                      <w:lang w:val="en-CA"/>
                    </w:rPr>
                  </w:pPr>
                  <w:r w:rsidRPr="00255AC2">
                    <w:rPr>
                      <w:rFonts w:eastAsia="Times New Roman" w:cstheme="minorHAnsi"/>
                      <w:b/>
                      <w:bCs/>
                      <w:i/>
                      <w:sz w:val="24"/>
                      <w:lang w:val="en-CA"/>
                    </w:rPr>
                    <w:t>“It is important to acknowledge both the foreseeable and unforeseeable issues that may shape future vulnerability, hazards and disasters in Canada” and that “by encouraging all segments of society, including individuals, communities, private and public sectors, non-governmental organizations, and academia to take responsibility and participate in emergency management, whole-of-society resilience can be achieved”.</w:t>
                  </w:r>
                </w:p>
                <w:p w:rsidR="00842BAE" w:rsidRPr="008930BF" w:rsidRDefault="00842BAE">
                  <w:pPr>
                    <w:rPr>
                      <w:i/>
                      <w:lang w:val="en-US"/>
                    </w:rPr>
                  </w:pPr>
                  <w:r w:rsidRPr="008930BF">
                    <w:rPr>
                      <w:rFonts w:eastAsia="Times New Roman" w:cstheme="minorHAnsi"/>
                      <w:bCs/>
                      <w:i/>
                      <w:sz w:val="20"/>
                      <w:lang w:val="en-CA"/>
                    </w:rPr>
                    <w:t>From “An Emergency Management Framework for Canada” prepared by the Ministers Responsible for Emergency Management under the auspices of Public Safety Canada</w:t>
                  </w:r>
                </w:p>
              </w:txbxContent>
            </v:textbox>
            <w10:wrap type="topAndBottom"/>
          </v:shape>
        </w:pict>
      </w:r>
      <w:r w:rsidR="00255AC2">
        <w:rPr>
          <w:rFonts w:eastAsia="Times New Roman" w:cstheme="minorHAnsi"/>
          <w:bCs/>
          <w:sz w:val="24"/>
          <w:lang w:val="en-CA"/>
        </w:rPr>
        <w:t>The</w:t>
      </w:r>
      <w:r w:rsidR="00692C11" w:rsidRPr="00692C11">
        <w:rPr>
          <w:rFonts w:eastAsia="Times New Roman" w:cstheme="minorHAnsi"/>
          <w:bCs/>
          <w:sz w:val="24"/>
          <w:lang w:val="en-CA"/>
        </w:rPr>
        <w:t xml:space="preserve"> national context for MEOPAR includes broadly-distributed governmental responsibility for preparing for, and responding to, emergencies and risks. This includes a number of Federal Ministries and agencies, provincial emergency management organisations, communities and, of cours</w:t>
      </w:r>
      <w:r w:rsidR="008930BF">
        <w:rPr>
          <w:rFonts w:eastAsia="Times New Roman" w:cstheme="minorHAnsi"/>
          <w:bCs/>
          <w:sz w:val="24"/>
          <w:lang w:val="en-CA"/>
        </w:rPr>
        <w:t>e, ocean-related industries. Th</w:t>
      </w:r>
      <w:r w:rsidR="009C28CE">
        <w:rPr>
          <w:rFonts w:eastAsia="Times New Roman" w:cstheme="minorHAnsi"/>
          <w:bCs/>
          <w:sz w:val="24"/>
          <w:lang w:val="en-CA"/>
        </w:rPr>
        <w:t>is</w:t>
      </w:r>
      <w:r w:rsidR="00692C11" w:rsidRPr="00692C11">
        <w:rPr>
          <w:rFonts w:eastAsia="Times New Roman" w:cstheme="minorHAnsi"/>
          <w:bCs/>
          <w:sz w:val="24"/>
          <w:lang w:val="en-CA"/>
        </w:rPr>
        <w:t xml:space="preserve"> broad responsibility</w:t>
      </w:r>
      <w:r w:rsidR="008930BF">
        <w:rPr>
          <w:rFonts w:eastAsia="Times New Roman" w:cstheme="minorHAnsi"/>
          <w:bCs/>
          <w:sz w:val="24"/>
          <w:lang w:val="en-CA"/>
        </w:rPr>
        <w:t xml:space="preserve"> has important implications</w:t>
      </w:r>
      <w:r w:rsidR="00CF5DA2">
        <w:rPr>
          <w:rFonts w:eastAsia="Times New Roman" w:cstheme="minorHAnsi"/>
          <w:bCs/>
          <w:sz w:val="24"/>
          <w:lang w:val="en-CA"/>
        </w:rPr>
        <w:t xml:space="preserve"> (see </w:t>
      </w:r>
      <w:r w:rsidR="008930BF">
        <w:rPr>
          <w:rFonts w:eastAsia="Times New Roman" w:cstheme="minorHAnsi"/>
          <w:bCs/>
          <w:sz w:val="24"/>
          <w:lang w:val="en-CA"/>
        </w:rPr>
        <w:t xml:space="preserve">text </w:t>
      </w:r>
      <w:r w:rsidR="00CF5DA2">
        <w:rPr>
          <w:rFonts w:eastAsia="Times New Roman" w:cstheme="minorHAnsi"/>
          <w:bCs/>
          <w:sz w:val="24"/>
          <w:lang w:val="en-CA"/>
        </w:rPr>
        <w:t>box)</w:t>
      </w:r>
      <w:r w:rsidR="00692C11" w:rsidRPr="00692C11">
        <w:rPr>
          <w:rFonts w:eastAsia="Times New Roman" w:cstheme="minorHAnsi"/>
          <w:bCs/>
          <w:sz w:val="24"/>
          <w:lang w:val="en-CA"/>
        </w:rPr>
        <w:t xml:space="preserve">: </w:t>
      </w:r>
    </w:p>
    <w:p w:rsidR="008930BF" w:rsidRPr="00255AC2" w:rsidRDefault="008930BF" w:rsidP="00692C11">
      <w:pPr>
        <w:rPr>
          <w:rFonts w:eastAsia="Times New Roman" w:cstheme="minorHAnsi"/>
          <w:b/>
          <w:bCs/>
          <w:i/>
          <w:sz w:val="24"/>
          <w:lang w:val="en-CA"/>
        </w:rPr>
      </w:pPr>
    </w:p>
    <w:p w:rsidR="00692C11" w:rsidRPr="00692C11" w:rsidRDefault="009C28CE" w:rsidP="00692C11">
      <w:pPr>
        <w:rPr>
          <w:rFonts w:eastAsia="Times New Roman" w:cstheme="minorHAnsi"/>
          <w:bCs/>
          <w:sz w:val="24"/>
          <w:lang w:val="en-CA"/>
        </w:rPr>
      </w:pPr>
      <w:r>
        <w:rPr>
          <w:rFonts w:eastAsia="Times New Roman" w:cstheme="minorHAnsi"/>
          <w:bCs/>
          <w:sz w:val="24"/>
          <w:lang w:val="en-CA"/>
        </w:rPr>
        <w:t>U</w:t>
      </w:r>
      <w:r w:rsidR="00692C11" w:rsidRPr="00692C11">
        <w:rPr>
          <w:rFonts w:eastAsia="Times New Roman" w:cstheme="minorHAnsi"/>
          <w:bCs/>
          <w:sz w:val="24"/>
          <w:lang w:val="en-CA"/>
        </w:rPr>
        <w:t xml:space="preserve">ntil now, </w:t>
      </w:r>
      <w:r w:rsidR="00420DE6">
        <w:rPr>
          <w:rFonts w:eastAsia="Times New Roman" w:cstheme="minorHAnsi"/>
          <w:bCs/>
          <w:sz w:val="24"/>
          <w:lang w:val="en-CA"/>
        </w:rPr>
        <w:t>Canada’s</w:t>
      </w:r>
      <w:r w:rsidR="00692C11" w:rsidRPr="00692C11">
        <w:rPr>
          <w:rFonts w:eastAsia="Times New Roman" w:cstheme="minorHAnsi"/>
          <w:bCs/>
          <w:sz w:val="24"/>
          <w:lang w:val="en-CA"/>
        </w:rPr>
        <w:t xml:space="preserve"> academic and private sectors have not been linked </w:t>
      </w:r>
      <w:r w:rsidR="00CF5DA2">
        <w:rPr>
          <w:rFonts w:eastAsia="Times New Roman" w:cstheme="minorHAnsi"/>
          <w:bCs/>
          <w:sz w:val="24"/>
          <w:lang w:val="en-CA"/>
        </w:rPr>
        <w:t>strongly</w:t>
      </w:r>
      <w:r w:rsidR="00692C11" w:rsidRPr="00692C11">
        <w:rPr>
          <w:rFonts w:eastAsia="Times New Roman" w:cstheme="minorHAnsi"/>
          <w:bCs/>
          <w:sz w:val="24"/>
          <w:lang w:val="en-CA"/>
        </w:rPr>
        <w:t xml:space="preserve"> to government efforts to anticipate and prepare for risks of the marine environment. This implies potential</w:t>
      </w:r>
      <w:r w:rsidR="008930BF">
        <w:rPr>
          <w:rFonts w:eastAsia="Times New Roman" w:cstheme="minorHAnsi"/>
          <w:bCs/>
          <w:sz w:val="24"/>
          <w:lang w:val="en-CA"/>
        </w:rPr>
        <w:t xml:space="preserve"> for synergy and new approaches</w:t>
      </w:r>
      <w:r w:rsidR="00F834F3">
        <w:rPr>
          <w:rFonts w:eastAsia="Times New Roman" w:cstheme="minorHAnsi"/>
          <w:bCs/>
          <w:sz w:val="24"/>
          <w:lang w:val="en-CA"/>
        </w:rPr>
        <w:t xml:space="preserve"> </w:t>
      </w:r>
      <w:r w:rsidR="00CF5DA2">
        <w:rPr>
          <w:rFonts w:eastAsia="Times New Roman" w:cstheme="minorHAnsi"/>
          <w:bCs/>
          <w:sz w:val="24"/>
          <w:lang w:val="en-CA"/>
        </w:rPr>
        <w:t>that</w:t>
      </w:r>
      <w:r w:rsidR="00692C11" w:rsidRPr="00692C11">
        <w:rPr>
          <w:rFonts w:eastAsia="Times New Roman" w:cstheme="minorHAnsi"/>
          <w:bCs/>
          <w:sz w:val="24"/>
          <w:lang w:val="en-CA"/>
        </w:rPr>
        <w:t xml:space="preserve"> the MEOPAR Network of Centres of Excellence </w:t>
      </w:r>
      <w:r w:rsidR="00CF5DA2">
        <w:rPr>
          <w:rFonts w:eastAsia="Times New Roman" w:cstheme="minorHAnsi"/>
          <w:bCs/>
          <w:sz w:val="24"/>
          <w:lang w:val="en-CA"/>
        </w:rPr>
        <w:t xml:space="preserve">can exploit and develop. MEOPAR will enable </w:t>
      </w:r>
      <w:r w:rsidR="00692C11" w:rsidRPr="00692C11">
        <w:rPr>
          <w:rFonts w:eastAsia="Times New Roman" w:cstheme="minorHAnsi"/>
          <w:bCs/>
          <w:sz w:val="24"/>
          <w:lang w:val="en-CA"/>
        </w:rPr>
        <w:t xml:space="preserve">Canada’s academic research community </w:t>
      </w:r>
      <w:r w:rsidR="00420DE6">
        <w:rPr>
          <w:rFonts w:eastAsia="Times New Roman" w:cstheme="minorHAnsi"/>
          <w:bCs/>
          <w:sz w:val="24"/>
          <w:lang w:val="en-CA"/>
        </w:rPr>
        <w:t>as well as</w:t>
      </w:r>
      <w:r w:rsidR="00692C11" w:rsidRPr="00692C11">
        <w:rPr>
          <w:rFonts w:eastAsia="Times New Roman" w:cstheme="minorHAnsi"/>
          <w:bCs/>
          <w:sz w:val="24"/>
          <w:lang w:val="en-CA"/>
        </w:rPr>
        <w:t xml:space="preserve"> private sector</w:t>
      </w:r>
      <w:r w:rsidR="00420DE6">
        <w:rPr>
          <w:rFonts w:eastAsia="Times New Roman" w:cstheme="minorHAnsi"/>
          <w:bCs/>
          <w:sz w:val="24"/>
          <w:lang w:val="en-CA"/>
        </w:rPr>
        <w:t xml:space="preserve"> and other non-governmental</w:t>
      </w:r>
      <w:r w:rsidR="00692C11" w:rsidRPr="00692C11">
        <w:rPr>
          <w:rFonts w:eastAsia="Times New Roman" w:cstheme="minorHAnsi"/>
          <w:bCs/>
          <w:sz w:val="24"/>
          <w:lang w:val="en-CA"/>
        </w:rPr>
        <w:t xml:space="preserve"> partners to “take responsibility” and “participate” in this important national undertaking with </w:t>
      </w:r>
      <w:r w:rsidR="00420DE6">
        <w:rPr>
          <w:rFonts w:eastAsia="Times New Roman" w:cstheme="minorHAnsi"/>
          <w:bCs/>
          <w:sz w:val="24"/>
          <w:lang w:val="en-CA"/>
        </w:rPr>
        <w:t>government</w:t>
      </w:r>
      <w:r w:rsidR="00692C11" w:rsidRPr="00692C11">
        <w:rPr>
          <w:rFonts w:eastAsia="Times New Roman" w:cstheme="minorHAnsi"/>
          <w:bCs/>
          <w:sz w:val="24"/>
          <w:lang w:val="en-CA"/>
        </w:rPr>
        <w:t xml:space="preserve">. </w:t>
      </w:r>
      <w:r w:rsidR="00CF5DA2">
        <w:rPr>
          <w:rFonts w:eastAsia="Times New Roman" w:cstheme="minorHAnsi"/>
          <w:bCs/>
          <w:sz w:val="24"/>
          <w:lang w:val="en-CA"/>
        </w:rPr>
        <w:t>T</w:t>
      </w:r>
      <w:r w:rsidR="00692C11" w:rsidRPr="00692C11">
        <w:rPr>
          <w:rFonts w:eastAsia="Times New Roman" w:cstheme="minorHAnsi"/>
          <w:bCs/>
          <w:sz w:val="24"/>
          <w:lang w:val="en-CA"/>
        </w:rPr>
        <w:t>he Network will establish a multi</w:t>
      </w:r>
      <w:r w:rsidR="006743A4">
        <w:rPr>
          <w:rFonts w:eastAsia="Times New Roman" w:cstheme="minorHAnsi"/>
          <w:bCs/>
          <w:sz w:val="24"/>
          <w:lang w:val="en-CA"/>
        </w:rPr>
        <w:t>-sectoral approach to delivery of</w:t>
      </w:r>
      <w:r w:rsidR="00692C11" w:rsidRPr="00692C11">
        <w:rPr>
          <w:rFonts w:eastAsia="Times New Roman" w:cstheme="minorHAnsi"/>
          <w:bCs/>
          <w:sz w:val="24"/>
          <w:lang w:val="en-CA"/>
        </w:rPr>
        <w:t xml:space="preserve"> research, knowledge and new capabilities which can be translated into improved operational and management procedures. </w:t>
      </w:r>
    </w:p>
    <w:p w:rsidR="00692C11" w:rsidRPr="00692C11" w:rsidRDefault="00692C11" w:rsidP="00692C11">
      <w:pPr>
        <w:rPr>
          <w:rFonts w:eastAsia="Times New Roman" w:cstheme="minorHAnsi"/>
          <w:bCs/>
          <w:sz w:val="24"/>
          <w:lang w:val="en-CA"/>
        </w:rPr>
      </w:pPr>
      <w:r w:rsidRPr="00692C11">
        <w:rPr>
          <w:rFonts w:eastAsia="Times New Roman" w:cstheme="minorHAnsi"/>
          <w:bCs/>
          <w:sz w:val="24"/>
          <w:lang w:val="en-CA"/>
        </w:rPr>
        <w:t xml:space="preserve">MEOPAR’s strategy concerning </w:t>
      </w:r>
      <w:r w:rsidRPr="00692C11">
        <w:rPr>
          <w:rFonts w:eastAsia="Times New Roman" w:cstheme="minorHAnsi"/>
          <w:b/>
          <w:bCs/>
          <w:i/>
          <w:sz w:val="24"/>
          <w:lang w:val="en-CA"/>
        </w:rPr>
        <w:t>research</w:t>
      </w:r>
      <w:r w:rsidRPr="00692C11">
        <w:rPr>
          <w:rFonts w:eastAsia="Times New Roman" w:cstheme="minorHAnsi"/>
          <w:b/>
          <w:bCs/>
          <w:sz w:val="24"/>
          <w:lang w:val="en-CA"/>
        </w:rPr>
        <w:t xml:space="preserve"> </w:t>
      </w:r>
      <w:r w:rsidRPr="00692C11">
        <w:rPr>
          <w:rFonts w:eastAsia="Times New Roman" w:cstheme="minorHAnsi"/>
          <w:bCs/>
          <w:sz w:val="24"/>
          <w:lang w:val="en-CA"/>
        </w:rPr>
        <w:t xml:space="preserve">will be to build, whenever possible, on relevant prior initiatives and to link capabilities of industry, government and non-governmental partners. Hence MEOPAR will build on past successes and network, complement, enhance and add value to </w:t>
      </w:r>
      <w:r w:rsidR="00420DE6">
        <w:rPr>
          <w:rFonts w:eastAsia="Times New Roman" w:cstheme="minorHAnsi"/>
          <w:bCs/>
          <w:sz w:val="24"/>
          <w:lang w:val="en-CA"/>
        </w:rPr>
        <w:t>ongoing</w:t>
      </w:r>
      <w:r w:rsidRPr="00692C11">
        <w:rPr>
          <w:rFonts w:eastAsia="Times New Roman" w:cstheme="minorHAnsi"/>
          <w:bCs/>
          <w:sz w:val="24"/>
          <w:lang w:val="en-CA"/>
        </w:rPr>
        <w:t xml:space="preserve"> Canadian</w:t>
      </w:r>
      <w:r w:rsidR="00420DE6">
        <w:rPr>
          <w:rFonts w:eastAsia="Times New Roman" w:cstheme="minorHAnsi"/>
          <w:bCs/>
          <w:sz w:val="24"/>
          <w:lang w:val="en-CA"/>
        </w:rPr>
        <w:t xml:space="preserve"> initiatives. The Network</w:t>
      </w:r>
      <w:r w:rsidRPr="00692C11">
        <w:rPr>
          <w:rFonts w:eastAsia="Times New Roman" w:cstheme="minorHAnsi"/>
          <w:bCs/>
          <w:sz w:val="24"/>
          <w:lang w:val="en-CA"/>
        </w:rPr>
        <w:t xml:space="preserve"> will also cooperate with and learn from related international programs. </w:t>
      </w:r>
    </w:p>
    <w:p w:rsidR="00692C11" w:rsidRPr="002E0B7D" w:rsidRDefault="00692C11" w:rsidP="00692C11">
      <w:pPr>
        <w:autoSpaceDE w:val="0"/>
        <w:autoSpaceDN w:val="0"/>
        <w:adjustRightInd w:val="0"/>
        <w:spacing w:after="0" w:line="240" w:lineRule="auto"/>
        <w:rPr>
          <w:rFonts w:eastAsia="Times New Roman" w:cstheme="minorHAnsi"/>
          <w:bCs/>
          <w:sz w:val="24"/>
          <w:lang w:val="en-CA"/>
        </w:rPr>
      </w:pPr>
      <w:r w:rsidRPr="002E0B7D">
        <w:rPr>
          <w:rFonts w:eastAsia="Times New Roman" w:cstheme="minorHAnsi"/>
          <w:bCs/>
          <w:sz w:val="24"/>
          <w:lang w:val="en-CA"/>
        </w:rPr>
        <w:t xml:space="preserve">MEOPAR’s strategy concerning knowledge mobilization </w:t>
      </w:r>
      <w:r w:rsidR="00CF5DA2" w:rsidRPr="002E0B7D">
        <w:rPr>
          <w:rFonts w:eastAsia="Times New Roman" w:cstheme="minorHAnsi"/>
          <w:bCs/>
          <w:sz w:val="24"/>
          <w:lang w:val="en-CA"/>
        </w:rPr>
        <w:t>will</w:t>
      </w:r>
      <w:r w:rsidRPr="002E0B7D">
        <w:rPr>
          <w:rFonts w:eastAsia="Times New Roman" w:cstheme="minorHAnsi"/>
          <w:bCs/>
          <w:sz w:val="24"/>
          <w:lang w:val="en-CA"/>
        </w:rPr>
        <w:t xml:space="preserve"> ensure rapid flow of ideas, tools and technologies to partners and receptor groups in order to maximize the social and economic benefits of the Network’s research. The strategy involves bringing researchers and users together within research projects</w:t>
      </w:r>
      <w:r w:rsidR="002234BB" w:rsidRPr="002E0B7D">
        <w:rPr>
          <w:rFonts w:eastAsia="Times New Roman" w:cstheme="minorHAnsi"/>
          <w:bCs/>
          <w:sz w:val="24"/>
          <w:lang w:val="en-CA"/>
        </w:rPr>
        <w:t>,</w:t>
      </w:r>
      <w:r w:rsidRPr="002E0B7D">
        <w:rPr>
          <w:rFonts w:eastAsia="Times New Roman" w:cstheme="minorHAnsi"/>
          <w:bCs/>
          <w:sz w:val="24"/>
          <w:lang w:val="en-CA"/>
        </w:rPr>
        <w:t xml:space="preserve"> as well as a novel Partnership Program </w:t>
      </w:r>
      <w:r w:rsidR="007A6EE0" w:rsidRPr="002E0B7D">
        <w:rPr>
          <w:rFonts w:eastAsia="Times New Roman" w:cstheme="minorHAnsi"/>
          <w:bCs/>
          <w:sz w:val="24"/>
          <w:lang w:val="en-CA"/>
        </w:rPr>
        <w:t>which will</w:t>
      </w:r>
      <w:r w:rsidRPr="002E0B7D">
        <w:rPr>
          <w:rFonts w:eastAsia="Times New Roman" w:cstheme="minorHAnsi"/>
          <w:bCs/>
          <w:sz w:val="24"/>
          <w:lang w:val="en-CA"/>
        </w:rPr>
        <w:t xml:space="preserve"> co-finance collaborative research with industry, municipalities and other non-academic partners. MEOPAR will promote a variety of mechanisms for information exchange, including an annual Expert </w:t>
      </w:r>
      <w:r w:rsidR="003C4842" w:rsidRPr="002E0B7D">
        <w:rPr>
          <w:rFonts w:ascii="Cambria" w:eastAsia="Cambria" w:hAnsi="Cambria" w:cs="Times New Roman"/>
          <w:noProof/>
          <w:sz w:val="24"/>
          <w:szCs w:val="24"/>
          <w:lang w:val="en-US"/>
        </w:rPr>
        <w:drawing>
          <wp:anchor distT="0" distB="0" distL="114300" distR="114300" simplePos="0" relativeHeight="251662336" behindDoc="0" locked="0" layoutInCell="1" allowOverlap="1">
            <wp:simplePos x="0" y="0"/>
            <wp:positionH relativeFrom="column">
              <wp:posOffset>628650</wp:posOffset>
            </wp:positionH>
            <wp:positionV relativeFrom="paragraph">
              <wp:posOffset>768985</wp:posOffset>
            </wp:positionV>
            <wp:extent cx="4290695" cy="1782445"/>
            <wp:effectExtent l="19050" t="19050" r="14605" b="273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0695" cy="1782445"/>
                    </a:xfrm>
                    <a:prstGeom prst="rect">
                      <a:avLst/>
                    </a:prstGeom>
                    <a:noFill/>
                    <a:ln>
                      <a:solidFill>
                        <a:srgbClr val="4F81BD"/>
                      </a:solidFill>
                    </a:ln>
                  </pic:spPr>
                </pic:pic>
              </a:graphicData>
            </a:graphic>
          </wp:anchor>
        </w:drawing>
      </w:r>
      <w:r w:rsidRPr="002E0B7D">
        <w:rPr>
          <w:rFonts w:eastAsia="Times New Roman" w:cstheme="minorHAnsi"/>
          <w:bCs/>
          <w:sz w:val="24"/>
          <w:lang w:val="en-CA"/>
        </w:rPr>
        <w:t>Forum aimed at key decision-makers and</w:t>
      </w:r>
      <w:r w:rsidR="00842BAE">
        <w:rPr>
          <w:rFonts w:eastAsia="Times New Roman" w:cstheme="minorHAnsi"/>
          <w:bCs/>
          <w:sz w:val="24"/>
          <w:lang w:val="en-CA"/>
        </w:rPr>
        <w:t xml:space="preserve"> stakeholders</w:t>
      </w:r>
      <w:r w:rsidRPr="002E0B7D">
        <w:rPr>
          <w:rFonts w:eastAsia="Times New Roman" w:cstheme="minorHAnsi"/>
          <w:bCs/>
          <w:sz w:val="24"/>
          <w:lang w:val="en-CA"/>
        </w:rPr>
        <w:t>. Commercialization will make use of cooperation with existing national centres.</w:t>
      </w:r>
    </w:p>
    <w:p w:rsidR="003C4842" w:rsidRPr="00AB2953" w:rsidRDefault="003C4842" w:rsidP="003C4842">
      <w:pPr>
        <w:spacing w:before="100" w:beforeAutospacing="1" w:after="100" w:afterAutospacing="1" w:line="240" w:lineRule="auto"/>
        <w:outlineLvl w:val="2"/>
        <w:rPr>
          <w:rFonts w:eastAsia="Cambria" w:cs="Times New Roman"/>
          <w:i/>
          <w:sz w:val="24"/>
          <w:szCs w:val="24"/>
          <w:lang w:val="en-US"/>
        </w:rPr>
      </w:pPr>
      <w:r w:rsidRPr="00AB2953">
        <w:rPr>
          <w:rFonts w:eastAsia="Cambria" w:cs="Times New Roman"/>
          <w:i/>
          <w:sz w:val="24"/>
          <w:szCs w:val="24"/>
          <w:lang w:val="en-US"/>
        </w:rPr>
        <w:t>Figure S</w:t>
      </w:r>
      <w:r w:rsidR="009E44C0" w:rsidRPr="00AB2953">
        <w:rPr>
          <w:rFonts w:eastAsia="Cambria" w:cs="Times New Roman"/>
          <w:i/>
          <w:sz w:val="24"/>
          <w:szCs w:val="24"/>
          <w:lang w:val="en-US"/>
        </w:rPr>
        <w:t>3</w:t>
      </w:r>
      <w:r w:rsidRPr="00AB2953">
        <w:rPr>
          <w:rFonts w:eastAsia="Cambria" w:cs="Times New Roman"/>
          <w:i/>
          <w:sz w:val="24"/>
          <w:szCs w:val="24"/>
          <w:lang w:val="en-US"/>
        </w:rPr>
        <w:t>. MEOPAR and Training.</w:t>
      </w:r>
    </w:p>
    <w:p w:rsidR="00692C11" w:rsidRPr="002E0B7D" w:rsidRDefault="00692C11" w:rsidP="00692C11">
      <w:pPr>
        <w:spacing w:before="100" w:beforeAutospacing="1" w:after="100" w:afterAutospacing="1" w:line="240" w:lineRule="auto"/>
        <w:outlineLvl w:val="2"/>
        <w:rPr>
          <w:rFonts w:eastAsia="Times New Roman" w:cstheme="minorHAnsi"/>
          <w:bCs/>
          <w:sz w:val="24"/>
          <w:lang w:val="en-CA"/>
        </w:rPr>
      </w:pPr>
      <w:r w:rsidRPr="002E0B7D">
        <w:rPr>
          <w:rFonts w:eastAsia="Times New Roman" w:cstheme="minorHAnsi"/>
          <w:bCs/>
          <w:sz w:val="24"/>
          <w:lang w:val="en-CA"/>
        </w:rPr>
        <w:t xml:space="preserve">MEOPAR’s training strategy </w:t>
      </w:r>
      <w:r w:rsidR="006743A4" w:rsidRPr="002E0B7D">
        <w:rPr>
          <w:rFonts w:eastAsia="Times New Roman" w:cstheme="minorHAnsi"/>
          <w:bCs/>
          <w:sz w:val="24"/>
          <w:lang w:val="en-CA"/>
        </w:rPr>
        <w:t>aims to</w:t>
      </w:r>
      <w:r w:rsidR="00CF5DA2" w:rsidRPr="002E0B7D">
        <w:rPr>
          <w:rFonts w:eastAsia="Times New Roman" w:cstheme="minorHAnsi"/>
          <w:bCs/>
          <w:sz w:val="24"/>
          <w:lang w:val="en-CA"/>
        </w:rPr>
        <w:t xml:space="preserve"> </w:t>
      </w:r>
      <w:r w:rsidRPr="002E0B7D">
        <w:rPr>
          <w:rFonts w:eastAsia="Times New Roman" w:cstheme="minorHAnsi"/>
          <w:bCs/>
          <w:sz w:val="24"/>
          <w:lang w:val="en-CA"/>
        </w:rPr>
        <w:t xml:space="preserve">produce multi-skilled people </w:t>
      </w:r>
      <w:r w:rsidR="006743A4" w:rsidRPr="002E0B7D">
        <w:rPr>
          <w:rFonts w:eastAsia="Times New Roman" w:cstheme="minorHAnsi"/>
          <w:bCs/>
          <w:sz w:val="24"/>
          <w:lang w:val="en-CA"/>
        </w:rPr>
        <w:t>with u</w:t>
      </w:r>
      <w:r w:rsidRPr="002E0B7D">
        <w:rPr>
          <w:rFonts w:eastAsia="Times New Roman" w:cstheme="minorHAnsi"/>
          <w:bCs/>
          <w:sz w:val="24"/>
          <w:lang w:val="en-CA"/>
        </w:rPr>
        <w:t xml:space="preserve">nderstanding </w:t>
      </w:r>
      <w:r w:rsidR="006743A4" w:rsidRPr="002E0B7D">
        <w:rPr>
          <w:rFonts w:eastAsia="Times New Roman" w:cstheme="minorHAnsi"/>
          <w:bCs/>
          <w:sz w:val="24"/>
          <w:lang w:val="en-CA"/>
        </w:rPr>
        <w:t xml:space="preserve">and expertise </w:t>
      </w:r>
      <w:r w:rsidRPr="002E0B7D">
        <w:rPr>
          <w:rFonts w:eastAsia="Times New Roman" w:cstheme="minorHAnsi"/>
          <w:bCs/>
          <w:sz w:val="24"/>
          <w:lang w:val="en-CA"/>
        </w:rPr>
        <w:t>across a wide range of disciplines: from the natural and social sciences, to policy and law. The strategy involves creation of a t</w:t>
      </w:r>
      <w:r w:rsidR="00CF5DA2" w:rsidRPr="002E0B7D">
        <w:rPr>
          <w:rFonts w:eastAsia="Times New Roman" w:cstheme="minorHAnsi"/>
          <w:bCs/>
          <w:sz w:val="24"/>
          <w:lang w:val="en-CA"/>
        </w:rPr>
        <w:t xml:space="preserve">raining environment linking </w:t>
      </w:r>
      <w:r w:rsidRPr="002E0B7D">
        <w:rPr>
          <w:rFonts w:eastAsia="Times New Roman" w:cstheme="minorHAnsi"/>
          <w:bCs/>
          <w:sz w:val="24"/>
          <w:lang w:val="en-CA"/>
        </w:rPr>
        <w:t>natural sciences with economics, so</w:t>
      </w:r>
      <w:r w:rsidR="006C7D96" w:rsidRPr="002E0B7D">
        <w:rPr>
          <w:rFonts w:eastAsia="Times New Roman" w:cstheme="minorHAnsi"/>
          <w:bCs/>
          <w:sz w:val="24"/>
          <w:lang w:val="en-CA"/>
        </w:rPr>
        <w:t>cial and policy sciences using</w:t>
      </w:r>
      <w:r w:rsidRPr="002E0B7D">
        <w:rPr>
          <w:rFonts w:eastAsia="Times New Roman" w:cstheme="minorHAnsi"/>
          <w:bCs/>
          <w:sz w:val="24"/>
          <w:lang w:val="en-CA"/>
        </w:rPr>
        <w:t xml:space="preserve"> i) the Network’s own integrated projects, ii) strong interaction among trainees across the Network, iii) internships that promote cross-sector training; i</w:t>
      </w:r>
      <w:r w:rsidR="009C5DA0">
        <w:rPr>
          <w:rFonts w:eastAsia="Times New Roman" w:cstheme="minorHAnsi"/>
          <w:bCs/>
          <w:sz w:val="24"/>
          <w:lang w:val="en-CA"/>
        </w:rPr>
        <w:t>v</w:t>
      </w:r>
      <w:r w:rsidRPr="002E0B7D">
        <w:rPr>
          <w:rFonts w:eastAsia="Times New Roman" w:cstheme="minorHAnsi"/>
          <w:bCs/>
          <w:sz w:val="24"/>
          <w:lang w:val="en-CA"/>
        </w:rPr>
        <w:t xml:space="preserve">) direct involvement of partners and </w:t>
      </w:r>
      <w:r w:rsidR="00842BAE">
        <w:rPr>
          <w:rFonts w:eastAsia="Times New Roman" w:cstheme="minorHAnsi"/>
          <w:bCs/>
          <w:sz w:val="24"/>
          <w:lang w:val="en-CA"/>
        </w:rPr>
        <w:t xml:space="preserve">stakeholders </w:t>
      </w:r>
      <w:r w:rsidRPr="002E0B7D">
        <w:rPr>
          <w:rFonts w:eastAsia="Times New Roman" w:cstheme="minorHAnsi"/>
          <w:bCs/>
          <w:sz w:val="24"/>
          <w:lang w:val="en-CA"/>
        </w:rPr>
        <w:t xml:space="preserve">in the training program, and v) </w:t>
      </w:r>
      <w:r w:rsidR="006C7D96" w:rsidRPr="002E0B7D">
        <w:rPr>
          <w:rFonts w:eastAsia="Times New Roman" w:cstheme="minorHAnsi"/>
          <w:bCs/>
          <w:sz w:val="24"/>
          <w:lang w:val="en-CA"/>
        </w:rPr>
        <w:t>empowerment of</w:t>
      </w:r>
      <w:r w:rsidRPr="002E0B7D">
        <w:rPr>
          <w:rFonts w:eastAsia="Times New Roman" w:cstheme="minorHAnsi"/>
          <w:bCs/>
          <w:sz w:val="24"/>
          <w:lang w:val="en-CA"/>
        </w:rPr>
        <w:t xml:space="preserve"> trainees </w:t>
      </w:r>
      <w:r w:rsidR="00CF5DA2" w:rsidRPr="002E0B7D">
        <w:rPr>
          <w:rFonts w:eastAsia="Times New Roman" w:cstheme="minorHAnsi"/>
          <w:bCs/>
          <w:sz w:val="24"/>
          <w:lang w:val="en-CA"/>
        </w:rPr>
        <w:t>to</w:t>
      </w:r>
      <w:r w:rsidRPr="002E0B7D">
        <w:rPr>
          <w:rFonts w:eastAsia="Times New Roman" w:cstheme="minorHAnsi"/>
          <w:bCs/>
          <w:sz w:val="24"/>
          <w:lang w:val="en-CA"/>
        </w:rPr>
        <w:t xml:space="preserve"> participate in organization of their own training.</w:t>
      </w:r>
    </w:p>
    <w:bookmarkEnd w:id="2"/>
    <w:bookmarkEnd w:id="3"/>
    <w:p w:rsidR="00692C11" w:rsidRPr="00692C11" w:rsidRDefault="00692C11" w:rsidP="006E5B1C">
      <w:pPr>
        <w:keepNext/>
        <w:keepLines/>
        <w:numPr>
          <w:ilvl w:val="0"/>
          <w:numId w:val="1"/>
        </w:numPr>
        <w:spacing w:after="0"/>
        <w:ind w:left="360"/>
        <w:outlineLvl w:val="0"/>
        <w:rPr>
          <w:rFonts w:asciiTheme="majorHAnsi" w:eastAsia="Cambria" w:hAnsiTheme="majorHAnsi" w:cstheme="majorBidi"/>
          <w:b/>
          <w:bCs/>
          <w:color w:val="365F91" w:themeColor="accent1" w:themeShade="BF"/>
          <w:sz w:val="28"/>
          <w:szCs w:val="28"/>
          <w:lang w:val="en-US"/>
        </w:rPr>
      </w:pPr>
      <w:r w:rsidRPr="00692C11">
        <w:rPr>
          <w:rFonts w:asciiTheme="majorHAnsi" w:eastAsia="Cambria" w:hAnsiTheme="majorHAnsi" w:cstheme="majorBidi"/>
          <w:b/>
          <w:bCs/>
          <w:color w:val="365F91" w:themeColor="accent1" w:themeShade="BF"/>
          <w:sz w:val="28"/>
          <w:szCs w:val="28"/>
          <w:lang w:val="en-US"/>
        </w:rPr>
        <w:t xml:space="preserve">Goals of the Network </w:t>
      </w:r>
    </w:p>
    <w:p w:rsidR="00952B33" w:rsidRDefault="00952B33" w:rsidP="006E5B1C">
      <w:pPr>
        <w:spacing w:before="360" w:after="120" w:line="240" w:lineRule="auto"/>
        <w:rPr>
          <w:sz w:val="24"/>
          <w:lang w:val="en-US"/>
        </w:rPr>
      </w:pPr>
      <w:r w:rsidRPr="00296543">
        <w:rPr>
          <w:sz w:val="24"/>
          <w:lang w:val="en-US"/>
        </w:rPr>
        <w:t>MEOPAR is hosted at Dalhousie University but currently brings together over 40 researchers and HQP in 16 institutions from Victoria to St. John’s and this number is growing.</w:t>
      </w:r>
      <w:r>
        <w:rPr>
          <w:sz w:val="24"/>
          <w:lang w:val="en-US"/>
        </w:rPr>
        <w:t xml:space="preserve">  </w:t>
      </w:r>
      <w:r w:rsidRPr="00296543">
        <w:rPr>
          <w:sz w:val="24"/>
          <w:lang w:val="en-US"/>
        </w:rPr>
        <w:t xml:space="preserve">MEOPAR’s Administration Centre, located on Dalhousie University’s campus consists of a Scientific Director, a Network Manager, an </w:t>
      </w:r>
      <w:r w:rsidR="00842BAE">
        <w:rPr>
          <w:sz w:val="24"/>
          <w:lang w:val="en-US"/>
        </w:rPr>
        <w:t>Executive A</w:t>
      </w:r>
      <w:r w:rsidRPr="00296543">
        <w:rPr>
          <w:sz w:val="24"/>
          <w:lang w:val="en-US"/>
        </w:rPr>
        <w:t>dministrative</w:t>
      </w:r>
      <w:r w:rsidR="00842BAE">
        <w:rPr>
          <w:sz w:val="24"/>
          <w:lang w:val="en-US"/>
        </w:rPr>
        <w:t xml:space="preserve"> Officer</w:t>
      </w:r>
      <w:r w:rsidRPr="00296543">
        <w:rPr>
          <w:sz w:val="24"/>
          <w:lang w:val="en-US"/>
        </w:rPr>
        <w:t xml:space="preserve">, </w:t>
      </w:r>
      <w:r w:rsidR="00842BAE">
        <w:rPr>
          <w:sz w:val="24"/>
          <w:lang w:val="en-US"/>
        </w:rPr>
        <w:t>a Communications Officer and a T</w:t>
      </w:r>
      <w:r w:rsidRPr="00296543">
        <w:rPr>
          <w:sz w:val="24"/>
          <w:lang w:val="en-US"/>
        </w:rPr>
        <w:t xml:space="preserve">raining </w:t>
      </w:r>
      <w:r w:rsidR="00842BAE">
        <w:rPr>
          <w:sz w:val="24"/>
          <w:lang w:val="en-US"/>
        </w:rPr>
        <w:t>C</w:t>
      </w:r>
      <w:r w:rsidRPr="00296543">
        <w:rPr>
          <w:sz w:val="24"/>
          <w:lang w:val="en-US"/>
        </w:rPr>
        <w:t>oordinator.</w:t>
      </w:r>
    </w:p>
    <w:p w:rsidR="00692C11" w:rsidRPr="00952B33" w:rsidRDefault="00952B33" w:rsidP="00952B33">
      <w:pPr>
        <w:spacing w:line="240" w:lineRule="auto"/>
        <w:rPr>
          <w:sz w:val="24"/>
          <w:lang w:val="en-US"/>
        </w:rPr>
      </w:pPr>
      <w:r>
        <w:rPr>
          <w:sz w:val="24"/>
          <w:lang w:val="en-US"/>
        </w:rPr>
        <w:t xml:space="preserve">MEOPAR will </w:t>
      </w:r>
      <w:r w:rsidRPr="00296543">
        <w:rPr>
          <w:sz w:val="24"/>
          <w:lang w:val="en-US"/>
        </w:rPr>
        <w:t>work closely with government agencies, industry and international partners to develop new mechanisms for the sharing of expertise, data, infrastructure, and approaches relevant to anticipating and responding effectively to marine emergencies.</w:t>
      </w:r>
      <w:r>
        <w:rPr>
          <w:sz w:val="24"/>
          <w:lang w:val="en-US"/>
        </w:rPr>
        <w:t xml:space="preserve">  </w:t>
      </w:r>
      <w:r w:rsidR="00692C11" w:rsidRPr="002E0B7D">
        <w:rPr>
          <w:rFonts w:eastAsia="Times New Roman" w:cstheme="minorHAnsi"/>
          <w:bCs/>
          <w:sz w:val="24"/>
          <w:lang w:val="en-CA"/>
        </w:rPr>
        <w:t xml:space="preserve">The MEOPAR Network of Centres of Excellence </w:t>
      </w:r>
      <w:r w:rsidR="0008327D" w:rsidRPr="002E0B7D">
        <w:rPr>
          <w:rFonts w:eastAsia="Times New Roman" w:cstheme="minorHAnsi"/>
          <w:bCs/>
          <w:sz w:val="24"/>
          <w:lang w:val="en-CA"/>
        </w:rPr>
        <w:t xml:space="preserve">will have a lifetime of up to </w:t>
      </w:r>
      <w:r w:rsidR="00692C11" w:rsidRPr="002E0B7D">
        <w:rPr>
          <w:rFonts w:eastAsia="Times New Roman" w:cstheme="minorHAnsi"/>
          <w:bCs/>
          <w:sz w:val="24"/>
          <w:lang w:val="en-CA"/>
        </w:rPr>
        <w:t xml:space="preserve">15 years. This </w:t>
      </w:r>
      <w:r w:rsidR="00267005" w:rsidRPr="002E0B7D">
        <w:rPr>
          <w:rFonts w:eastAsia="Times New Roman" w:cstheme="minorHAnsi"/>
          <w:bCs/>
          <w:sz w:val="24"/>
          <w:lang w:val="en-CA"/>
        </w:rPr>
        <w:t>will allow</w:t>
      </w:r>
      <w:r w:rsidR="00692C11" w:rsidRPr="002E0B7D">
        <w:rPr>
          <w:rFonts w:eastAsia="Times New Roman" w:cstheme="minorHAnsi"/>
          <w:bCs/>
          <w:sz w:val="24"/>
          <w:lang w:val="en-CA"/>
        </w:rPr>
        <w:t xml:space="preserve"> MEOPAR to have fundamental impacts on Canada’s preparedness in the face of marine hazards. </w:t>
      </w:r>
      <w:r w:rsidR="000A7F69" w:rsidRPr="000A7F69">
        <w:rPr>
          <w:rFonts w:eastAsia="Times New Roman" w:cstheme="minorHAnsi"/>
          <w:bCs/>
          <w:sz w:val="24"/>
        </w:rPr>
        <w:t xml:space="preserve">The Network's seven goals, through which the Network will ensure </w:t>
      </w:r>
      <w:r w:rsidR="000A7F69">
        <w:rPr>
          <w:rFonts w:eastAsia="Times New Roman" w:cstheme="minorHAnsi"/>
          <w:bCs/>
          <w:sz w:val="24"/>
        </w:rPr>
        <w:t xml:space="preserve">a </w:t>
      </w:r>
      <w:r w:rsidR="000A7F69" w:rsidRPr="000A7F69">
        <w:rPr>
          <w:rFonts w:eastAsia="Times New Roman" w:cstheme="minorHAnsi"/>
          <w:bCs/>
          <w:sz w:val="24"/>
        </w:rPr>
        <w:t xml:space="preserve">long-term focus on tangible results </w:t>
      </w:r>
      <w:r w:rsidR="000A7F69">
        <w:rPr>
          <w:rFonts w:eastAsia="Times New Roman" w:cstheme="minorHAnsi"/>
          <w:bCs/>
          <w:sz w:val="24"/>
        </w:rPr>
        <w:t xml:space="preserve"> and</w:t>
      </w:r>
      <w:r w:rsidR="000A7F69" w:rsidRPr="000A7F69">
        <w:rPr>
          <w:rFonts w:eastAsia="Times New Roman" w:cstheme="minorHAnsi"/>
          <w:bCs/>
          <w:sz w:val="24"/>
        </w:rPr>
        <w:t>by which it will deliver on its vi</w:t>
      </w:r>
      <w:r w:rsidR="000A7F69">
        <w:rPr>
          <w:rFonts w:eastAsia="Times New Roman" w:cstheme="minorHAnsi"/>
          <w:bCs/>
          <w:sz w:val="24"/>
        </w:rPr>
        <w:t>sion and strategic outcome, are</w:t>
      </w:r>
      <w:r w:rsidR="00692C11" w:rsidRPr="002E0B7D">
        <w:rPr>
          <w:rFonts w:eastAsia="Times New Roman" w:cstheme="minorHAnsi"/>
          <w:bCs/>
          <w:sz w:val="24"/>
          <w:lang w:val="en-CA"/>
        </w:rPr>
        <w:t>:</w:t>
      </w:r>
    </w:p>
    <w:p w:rsidR="002E0B7D" w:rsidRPr="002E0B7D" w:rsidRDefault="002E0B7D" w:rsidP="002E0B7D">
      <w:pPr>
        <w:autoSpaceDE w:val="0"/>
        <w:autoSpaceDN w:val="0"/>
        <w:adjustRightInd w:val="0"/>
        <w:spacing w:after="0" w:line="240" w:lineRule="auto"/>
        <w:rPr>
          <w:rFonts w:eastAsia="Times New Roman" w:cstheme="minorHAnsi"/>
          <w:bCs/>
          <w:sz w:val="24"/>
          <w:lang w:val="en-CA"/>
        </w:rPr>
      </w:pPr>
    </w:p>
    <w:p w:rsidR="00692C11"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A</w:t>
      </w:r>
      <w:r w:rsidR="0049023A" w:rsidRPr="00AB2953">
        <w:rPr>
          <w:rFonts w:eastAsia="Times New Roman" w:cstheme="minorHAnsi"/>
          <w:b/>
          <w:bCs/>
          <w:i/>
          <w:sz w:val="24"/>
          <w:lang w:val="en-CA"/>
        </w:rPr>
        <w:t>n operational network</w:t>
      </w:r>
      <w:r w:rsidR="0049023A">
        <w:rPr>
          <w:rFonts w:eastAsia="Times New Roman" w:cstheme="minorHAnsi"/>
          <w:b/>
          <w:bCs/>
          <w:i/>
          <w:sz w:val="24"/>
          <w:lang w:val="en-CA"/>
        </w:rPr>
        <w:t>:</w:t>
      </w:r>
      <w:r w:rsidR="0049023A">
        <w:rPr>
          <w:rFonts w:eastAsia="Times New Roman" w:cstheme="minorHAnsi"/>
          <w:bCs/>
          <w:sz w:val="24"/>
          <w:lang w:val="en-CA"/>
        </w:rPr>
        <w:t xml:space="preserve"> </w:t>
      </w:r>
      <w:r w:rsidR="00692C11" w:rsidRPr="0049023A">
        <w:rPr>
          <w:rFonts w:eastAsia="Times New Roman" w:cstheme="minorHAnsi"/>
          <w:bCs/>
          <w:sz w:val="24"/>
          <w:lang w:val="en-CA"/>
        </w:rPr>
        <w:t xml:space="preserve">Promote an operational network </w:t>
      </w:r>
      <w:r w:rsidR="00692C11" w:rsidRPr="002E0B7D">
        <w:rPr>
          <w:rFonts w:eastAsia="Times New Roman" w:cstheme="minorHAnsi"/>
          <w:bCs/>
          <w:sz w:val="24"/>
          <w:lang w:val="en-CA"/>
        </w:rPr>
        <w:t>for marine observation, prediction and response along Canada’s coastline through a cooperative approach linking Government agencies, academia, municipalities,</w:t>
      </w:r>
      <w:r w:rsidR="006C7D96" w:rsidRPr="002E0B7D">
        <w:rPr>
          <w:rFonts w:eastAsia="Times New Roman" w:cstheme="minorHAnsi"/>
          <w:bCs/>
          <w:sz w:val="24"/>
          <w:lang w:val="en-CA"/>
        </w:rPr>
        <w:t xml:space="preserve"> non-governmental organisations</w:t>
      </w:r>
      <w:r w:rsidR="00692C11" w:rsidRPr="002E0B7D">
        <w:rPr>
          <w:rFonts w:eastAsia="Times New Roman" w:cstheme="minorHAnsi"/>
          <w:bCs/>
          <w:sz w:val="24"/>
          <w:lang w:val="en-CA"/>
        </w:rPr>
        <w:t xml:space="preserve"> and ocean-related industries. </w:t>
      </w:r>
    </w:p>
    <w:p w:rsidR="002E0B7D" w:rsidRPr="002E0B7D" w:rsidRDefault="002E0B7D" w:rsidP="002E0B7D">
      <w:pPr>
        <w:pStyle w:val="ListParagraph"/>
        <w:autoSpaceDE w:val="0"/>
        <w:autoSpaceDN w:val="0"/>
        <w:adjustRightInd w:val="0"/>
        <w:spacing w:after="0" w:line="240" w:lineRule="auto"/>
        <w:rPr>
          <w:rFonts w:eastAsia="Times New Roman" w:cstheme="minorHAnsi"/>
          <w:bCs/>
          <w:sz w:val="24"/>
          <w:lang w:val="en-CA"/>
        </w:rPr>
      </w:pPr>
    </w:p>
    <w:p w:rsidR="00692C11"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Information and knowledge exchange</w:t>
      </w:r>
      <w:r w:rsidR="0049023A" w:rsidRPr="00AB2953">
        <w:rPr>
          <w:rFonts w:eastAsia="Times New Roman" w:cstheme="minorHAnsi"/>
          <w:b/>
          <w:bCs/>
          <w:i/>
          <w:sz w:val="24"/>
          <w:lang w:val="en-CA"/>
        </w:rPr>
        <w:t>:</w:t>
      </w:r>
      <w:r w:rsidR="0049023A">
        <w:rPr>
          <w:rFonts w:eastAsia="Times New Roman" w:cstheme="minorHAnsi"/>
          <w:bCs/>
          <w:sz w:val="24"/>
          <w:lang w:val="en-CA"/>
        </w:rPr>
        <w:t xml:space="preserve"> </w:t>
      </w:r>
      <w:r w:rsidR="00692C11" w:rsidRPr="0049023A">
        <w:rPr>
          <w:rFonts w:eastAsia="Times New Roman" w:cstheme="minorHAnsi"/>
          <w:bCs/>
          <w:sz w:val="24"/>
          <w:lang w:val="en-CA"/>
        </w:rPr>
        <w:t xml:space="preserve">Improve sharing of information and knowledge </w:t>
      </w:r>
      <w:r w:rsidR="00692C11" w:rsidRPr="002E0B7D">
        <w:rPr>
          <w:rFonts w:eastAsia="Times New Roman" w:cstheme="minorHAnsi"/>
          <w:bCs/>
          <w:sz w:val="24"/>
          <w:lang w:val="en-CA"/>
        </w:rPr>
        <w:t>between communities, private and public sectors, non-governmental organizations, academia and government in order to improve response capability and resilience in the face of changing patterns of risk in the marine environment.</w:t>
      </w:r>
    </w:p>
    <w:p w:rsidR="002E0B7D" w:rsidRPr="002E0B7D" w:rsidRDefault="002E0B7D" w:rsidP="002E0B7D">
      <w:pPr>
        <w:autoSpaceDE w:val="0"/>
        <w:autoSpaceDN w:val="0"/>
        <w:adjustRightInd w:val="0"/>
        <w:spacing w:after="0" w:line="240" w:lineRule="auto"/>
        <w:rPr>
          <w:rFonts w:eastAsia="Times New Roman" w:cstheme="minorHAnsi"/>
          <w:bCs/>
          <w:sz w:val="24"/>
          <w:lang w:val="en-CA"/>
        </w:rPr>
      </w:pPr>
    </w:p>
    <w:p w:rsidR="00692C11"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Northern hazard assessmen</w:t>
      </w:r>
      <w:r>
        <w:rPr>
          <w:rFonts w:eastAsia="Times New Roman" w:cstheme="minorHAnsi"/>
          <w:b/>
          <w:bCs/>
          <w:sz w:val="24"/>
          <w:lang w:val="en-CA"/>
        </w:rPr>
        <w:t>t</w:t>
      </w:r>
      <w:r w:rsidR="0049023A" w:rsidRPr="00AB2953">
        <w:rPr>
          <w:rFonts w:eastAsia="Times New Roman" w:cstheme="minorHAnsi"/>
          <w:b/>
          <w:bCs/>
          <w:i/>
          <w:sz w:val="24"/>
          <w:lang w:val="en-CA"/>
        </w:rPr>
        <w:t>:</w:t>
      </w:r>
      <w:r w:rsidR="0049023A">
        <w:rPr>
          <w:rFonts w:eastAsia="Times New Roman" w:cstheme="minorHAnsi"/>
          <w:bCs/>
          <w:sz w:val="24"/>
          <w:lang w:val="en-CA"/>
        </w:rPr>
        <w:t xml:space="preserve"> </w:t>
      </w:r>
      <w:r w:rsidR="00692C11" w:rsidRPr="0049023A">
        <w:rPr>
          <w:rFonts w:eastAsia="Times New Roman" w:cstheme="minorHAnsi"/>
          <w:bCs/>
          <w:sz w:val="24"/>
          <w:lang w:val="en-CA"/>
        </w:rPr>
        <w:t>Provide scientific information and evaluation of marine hazards</w:t>
      </w:r>
      <w:r w:rsidR="00692C11" w:rsidRPr="002E0B7D">
        <w:rPr>
          <w:rFonts w:eastAsia="Times New Roman" w:cstheme="minorHAnsi"/>
          <w:bCs/>
          <w:sz w:val="24"/>
          <w:lang w:val="en-CA"/>
        </w:rPr>
        <w:t xml:space="preserve"> to guide economic and community development in Canada’s northern marine environment. </w:t>
      </w:r>
    </w:p>
    <w:p w:rsidR="002E0B7D" w:rsidRP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49023A"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sidRPr="00AB2953">
        <w:rPr>
          <w:rFonts w:eastAsia="Times New Roman" w:cstheme="minorHAnsi"/>
          <w:b/>
          <w:bCs/>
          <w:i/>
          <w:sz w:val="24"/>
          <w:lang w:val="en-CA"/>
        </w:rPr>
        <w:t>Private-sector participation:</w:t>
      </w:r>
      <w:r>
        <w:rPr>
          <w:rFonts w:eastAsia="Times New Roman" w:cstheme="minorHAnsi"/>
          <w:bCs/>
          <w:sz w:val="24"/>
          <w:lang w:val="en-CA"/>
        </w:rPr>
        <w:t xml:space="preserve"> </w:t>
      </w:r>
      <w:r w:rsidR="00692C11" w:rsidRPr="0049023A">
        <w:rPr>
          <w:rFonts w:eastAsia="Times New Roman" w:cstheme="minorHAnsi"/>
          <w:bCs/>
          <w:sz w:val="24"/>
          <w:lang w:val="en-CA"/>
        </w:rPr>
        <w:t>Strengthen Canadian private-sector expertise</w:t>
      </w:r>
      <w:r w:rsidR="00692C11" w:rsidRPr="002E0B7D">
        <w:rPr>
          <w:rFonts w:eastAsia="Times New Roman" w:cstheme="minorHAnsi"/>
          <w:bCs/>
          <w:sz w:val="24"/>
          <w:lang w:val="en-CA"/>
        </w:rPr>
        <w:t xml:space="preserve"> in marine environmental observation, prediction and response and promote this expertise to address national and international problems</w:t>
      </w:r>
    </w:p>
    <w:p w:rsid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Internati</w:t>
      </w:r>
      <w:r w:rsidR="0049023A" w:rsidRPr="00AB2953">
        <w:rPr>
          <w:rFonts w:eastAsia="Times New Roman" w:cstheme="minorHAnsi"/>
          <w:b/>
          <w:bCs/>
          <w:i/>
          <w:sz w:val="24"/>
          <w:lang w:val="en-CA"/>
        </w:rPr>
        <w:t>onal cooperation:</w:t>
      </w:r>
      <w:r w:rsidR="0049023A">
        <w:rPr>
          <w:rFonts w:eastAsia="Times New Roman" w:cstheme="minorHAnsi"/>
          <w:bCs/>
          <w:sz w:val="24"/>
          <w:lang w:val="en-CA"/>
        </w:rPr>
        <w:t xml:space="preserve"> </w:t>
      </w:r>
      <w:r w:rsidR="007058CA" w:rsidRPr="0049023A">
        <w:rPr>
          <w:rFonts w:eastAsia="Times New Roman" w:cstheme="minorHAnsi"/>
          <w:bCs/>
          <w:sz w:val="24"/>
          <w:lang w:val="en-CA"/>
        </w:rPr>
        <w:t>Promote</w:t>
      </w:r>
      <w:r w:rsidR="00692C11" w:rsidRPr="0049023A">
        <w:rPr>
          <w:rFonts w:eastAsia="Times New Roman" w:cstheme="minorHAnsi"/>
          <w:bCs/>
          <w:sz w:val="24"/>
          <w:lang w:val="en-CA"/>
        </w:rPr>
        <w:t xml:space="preserve"> international cooperation </w:t>
      </w:r>
      <w:r w:rsidR="00692C11" w:rsidRPr="002E0B7D">
        <w:rPr>
          <w:rFonts w:eastAsia="Times New Roman" w:cstheme="minorHAnsi"/>
          <w:bCs/>
          <w:sz w:val="24"/>
          <w:lang w:val="en-CA"/>
        </w:rPr>
        <w:t>in marine environmental observation and prediction, including adoption and leverage of international best practices and expertise for the benefit of Canadians.</w:t>
      </w:r>
    </w:p>
    <w:p w:rsid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sidRPr="00AB2953">
        <w:rPr>
          <w:rFonts w:eastAsia="Times New Roman" w:cstheme="minorHAnsi"/>
          <w:b/>
          <w:bCs/>
          <w:i/>
          <w:sz w:val="24"/>
          <w:lang w:val="en-CA"/>
        </w:rPr>
        <w:t>Fundamental research:</w:t>
      </w:r>
      <w:r>
        <w:rPr>
          <w:rFonts w:eastAsia="Times New Roman" w:cstheme="minorHAnsi"/>
          <w:bCs/>
          <w:sz w:val="24"/>
          <w:lang w:val="en-CA"/>
        </w:rPr>
        <w:t xml:space="preserve"> </w:t>
      </w:r>
      <w:r w:rsidR="00692C11" w:rsidRPr="0049023A">
        <w:rPr>
          <w:rFonts w:eastAsia="Times New Roman" w:cstheme="minorHAnsi"/>
          <w:bCs/>
          <w:sz w:val="24"/>
          <w:lang w:val="en-CA"/>
        </w:rPr>
        <w:t>Enhance resilience</w:t>
      </w:r>
      <w:r w:rsidR="00692C11" w:rsidRPr="002E0B7D">
        <w:rPr>
          <w:rFonts w:eastAsia="Times New Roman" w:cstheme="minorHAnsi"/>
          <w:bCs/>
          <w:sz w:val="24"/>
          <w:lang w:val="en-CA"/>
        </w:rPr>
        <w:t xml:space="preserve"> through development of new understanding of marine hazards and associated vulnerabilities, and improved ability to predict and project risk.</w:t>
      </w:r>
    </w:p>
    <w:p w:rsid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 xml:space="preserve">Economic opportunity: </w:t>
      </w:r>
      <w:r w:rsidR="00692C11" w:rsidRPr="003D0089">
        <w:rPr>
          <w:rFonts w:eastAsia="Times New Roman" w:cstheme="minorHAnsi"/>
          <w:bCs/>
          <w:sz w:val="24"/>
          <w:lang w:val="en-CA"/>
        </w:rPr>
        <w:t xml:space="preserve">Create economic opportunity </w:t>
      </w:r>
      <w:r w:rsidR="00692C11" w:rsidRPr="002E0B7D">
        <w:rPr>
          <w:rFonts w:eastAsia="Times New Roman" w:cstheme="minorHAnsi"/>
          <w:bCs/>
          <w:sz w:val="24"/>
          <w:lang w:val="en-CA"/>
        </w:rPr>
        <w:t>through enhancement of resilience as well as through commercialization and application of new approaches to marine observation and prediction.</w:t>
      </w:r>
    </w:p>
    <w:p w:rsidR="00692C11" w:rsidRPr="00692C11" w:rsidRDefault="00692C11" w:rsidP="002A2AF4">
      <w:pPr>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sidRPr="00692C11">
        <w:rPr>
          <w:rFonts w:asciiTheme="majorHAnsi" w:eastAsiaTheme="majorEastAsia" w:hAnsiTheme="majorHAnsi" w:cstheme="majorBidi"/>
          <w:b/>
          <w:bCs/>
          <w:color w:val="365F91" w:themeColor="accent1" w:themeShade="BF"/>
          <w:sz w:val="28"/>
          <w:szCs w:val="28"/>
          <w:lang w:val="en-US"/>
        </w:rPr>
        <w:t>Objectives for the First 5 Years</w:t>
      </w:r>
    </w:p>
    <w:p w:rsidR="00692C11" w:rsidRPr="00692C11" w:rsidRDefault="00692C11" w:rsidP="00692C11">
      <w:pPr>
        <w:rPr>
          <w:rFonts w:ascii="Cambria" w:eastAsia="Cambria" w:hAnsi="Cambria" w:cs="Times New Roman"/>
          <w:sz w:val="24"/>
          <w:szCs w:val="24"/>
          <w:lang w:val="en-US"/>
        </w:rPr>
      </w:pPr>
    </w:p>
    <w:p w:rsidR="00692C11" w:rsidRPr="00296543" w:rsidRDefault="00692C11" w:rsidP="00692C11">
      <w:pPr>
        <w:rPr>
          <w:rFonts w:eastAsia="Cambria" w:cs="Times New Roman"/>
          <w:sz w:val="24"/>
          <w:szCs w:val="24"/>
          <w:lang w:val="en-US"/>
        </w:rPr>
      </w:pPr>
      <w:r w:rsidRPr="00296543">
        <w:rPr>
          <w:rFonts w:eastAsia="Cambria" w:cs="Times New Roman"/>
          <w:sz w:val="24"/>
          <w:szCs w:val="24"/>
          <w:lang w:val="en-US"/>
        </w:rPr>
        <w:t>MEOPAR’s research program includes development and integration of science-based technologies and tools to improve Canada’s ability to respond to marine emergencies as they occur, and anticipate and adapt to changes in the risk of marine extremes and emergencies over the next century. Over its first 5 years, the Network</w:t>
      </w:r>
      <w:r w:rsidR="000953C2" w:rsidRPr="00296543">
        <w:rPr>
          <w:rFonts w:eastAsia="Cambria" w:cs="Times New Roman"/>
          <w:sz w:val="24"/>
          <w:szCs w:val="24"/>
          <w:lang w:val="en-US"/>
        </w:rPr>
        <w:t xml:space="preserve">’s effort will focus on: a) </w:t>
      </w:r>
      <w:r w:rsidRPr="00296543">
        <w:rPr>
          <w:rFonts w:eastAsia="Cambria" w:cs="Times New Roman"/>
          <w:sz w:val="24"/>
          <w:szCs w:val="24"/>
          <w:lang w:val="en-US"/>
        </w:rPr>
        <w:t>establishment of new partnerships, working relationships</w:t>
      </w:r>
      <w:r w:rsidR="000953C2" w:rsidRPr="00296543">
        <w:rPr>
          <w:rFonts w:eastAsia="Cambria" w:cs="Times New Roman"/>
          <w:sz w:val="24"/>
          <w:szCs w:val="24"/>
          <w:lang w:val="en-US"/>
        </w:rPr>
        <w:t xml:space="preserve"> and training programs;</w:t>
      </w:r>
      <w:r w:rsidRPr="00296543">
        <w:rPr>
          <w:rFonts w:eastAsia="Cambria" w:cs="Times New Roman"/>
          <w:sz w:val="24"/>
          <w:szCs w:val="24"/>
          <w:lang w:val="en-US"/>
        </w:rPr>
        <w:t xml:space="preserve"> b) demonstration of new cooperative approaches to observation, prediction and response, and c) organization of effective transfer of knowledge concerning marine hazards. Specifically for the next 5 years, the </w:t>
      </w:r>
      <w:r w:rsidR="009F774B">
        <w:rPr>
          <w:rFonts w:eastAsia="Cambria" w:cs="Times New Roman"/>
          <w:sz w:val="24"/>
          <w:szCs w:val="24"/>
          <w:lang w:val="en-US"/>
        </w:rPr>
        <w:t xml:space="preserve">seven principal </w:t>
      </w:r>
      <w:r w:rsidRPr="00296543">
        <w:rPr>
          <w:rFonts w:eastAsia="Cambria" w:cs="Times New Roman"/>
          <w:sz w:val="24"/>
          <w:szCs w:val="24"/>
          <w:lang w:val="en-US"/>
        </w:rPr>
        <w:t>objectives are to:</w:t>
      </w:r>
    </w:p>
    <w:p w:rsidR="003940D0" w:rsidRDefault="00692C11" w:rsidP="003940D0">
      <w:pPr>
        <w:pStyle w:val="ListParagraph"/>
        <w:numPr>
          <w:ilvl w:val="0"/>
          <w:numId w:val="14"/>
        </w:numPr>
        <w:spacing w:after="0"/>
        <w:rPr>
          <w:rFonts w:cs="Arial"/>
          <w:sz w:val="24"/>
          <w:szCs w:val="24"/>
          <w:lang w:val="en-US"/>
        </w:rPr>
      </w:pPr>
      <w:r w:rsidRPr="003940D0">
        <w:rPr>
          <w:rFonts w:cs="Arial"/>
          <w:sz w:val="24"/>
          <w:szCs w:val="24"/>
          <w:lang w:val="en-US"/>
        </w:rPr>
        <w:t>Establish the first nodes of a new pan-Canadian network of integrated observing and prediction systems for strategically important locations.</w:t>
      </w:r>
    </w:p>
    <w:p w:rsidR="00692C11" w:rsidRPr="003940D0" w:rsidRDefault="00692C11" w:rsidP="003940D0">
      <w:pPr>
        <w:spacing w:after="0"/>
        <w:rPr>
          <w:rFonts w:cs="Arial"/>
          <w:sz w:val="24"/>
          <w:szCs w:val="24"/>
          <w:lang w:val="en-US"/>
        </w:rPr>
      </w:pPr>
    </w:p>
    <w:p w:rsidR="00692C11" w:rsidRPr="003940D0" w:rsidRDefault="00692C11"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Develop new tools and technologies for rapid environmental assessment and forecasting during marine environmental emergencies.</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3940D0" w:rsidRDefault="007058CA"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Link p</w:t>
      </w:r>
      <w:r w:rsidR="00692C11" w:rsidRPr="003940D0">
        <w:rPr>
          <w:rFonts w:cs="Arial"/>
          <w:sz w:val="24"/>
          <w:szCs w:val="24"/>
          <w:lang w:val="en-US"/>
        </w:rPr>
        <w:t>roject</w:t>
      </w:r>
      <w:r w:rsidR="001237DC" w:rsidRPr="003940D0">
        <w:rPr>
          <w:rFonts w:cs="Arial"/>
          <w:sz w:val="24"/>
          <w:szCs w:val="24"/>
          <w:lang w:val="en-US"/>
        </w:rPr>
        <w:t>ion</w:t>
      </w:r>
      <w:r w:rsidR="00BE1186" w:rsidRPr="003940D0">
        <w:rPr>
          <w:rFonts w:cs="Arial"/>
          <w:sz w:val="24"/>
          <w:szCs w:val="24"/>
          <w:lang w:val="en-US"/>
        </w:rPr>
        <w:t xml:space="preserve"> of</w:t>
      </w:r>
      <w:r w:rsidR="00692C11" w:rsidRPr="003940D0">
        <w:rPr>
          <w:rFonts w:cs="Arial"/>
          <w:sz w:val="24"/>
          <w:szCs w:val="24"/>
          <w:lang w:val="en-US"/>
        </w:rPr>
        <w:t xml:space="preserve"> </w:t>
      </w:r>
      <w:r w:rsidRPr="003940D0">
        <w:rPr>
          <w:rFonts w:cs="Arial"/>
          <w:sz w:val="24"/>
          <w:szCs w:val="24"/>
          <w:lang w:val="en-US"/>
        </w:rPr>
        <w:t xml:space="preserve">future </w:t>
      </w:r>
      <w:r w:rsidR="00692C11" w:rsidRPr="003940D0">
        <w:rPr>
          <w:rFonts w:cs="Arial"/>
          <w:sz w:val="24"/>
          <w:szCs w:val="24"/>
          <w:lang w:val="en-US"/>
        </w:rPr>
        <w:t>changes in storms, coastal flooding, waves on local scales with consideration of econom</w:t>
      </w:r>
      <w:r w:rsidR="001237DC" w:rsidRPr="003940D0">
        <w:rPr>
          <w:rFonts w:cs="Arial"/>
          <w:sz w:val="24"/>
          <w:szCs w:val="24"/>
          <w:lang w:val="en-US"/>
        </w:rPr>
        <w:t>ic impacts, safety, planning, and policy</w:t>
      </w:r>
      <w:r w:rsidR="00692C11" w:rsidRPr="003940D0">
        <w:rPr>
          <w:rFonts w:cs="Arial"/>
          <w:sz w:val="24"/>
          <w:szCs w:val="24"/>
          <w:lang w:val="en-US"/>
        </w:rPr>
        <w:t>.</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3940D0" w:rsidRDefault="00692C11"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 xml:space="preserve">Assess </w:t>
      </w:r>
      <w:r w:rsidR="00842BAE">
        <w:rPr>
          <w:rFonts w:cs="Arial"/>
          <w:sz w:val="24"/>
          <w:szCs w:val="24"/>
          <w:lang w:val="en-US"/>
        </w:rPr>
        <w:t xml:space="preserve">the </w:t>
      </w:r>
      <w:r w:rsidRPr="003940D0">
        <w:rPr>
          <w:rFonts w:cs="Arial"/>
          <w:sz w:val="24"/>
          <w:szCs w:val="24"/>
          <w:lang w:val="en-US"/>
        </w:rPr>
        <w:t>impact of long term</w:t>
      </w:r>
      <w:r w:rsidR="007058CA" w:rsidRPr="003940D0">
        <w:rPr>
          <w:rFonts w:cs="Arial"/>
          <w:sz w:val="24"/>
          <w:szCs w:val="24"/>
          <w:lang w:val="en-US"/>
        </w:rPr>
        <w:t>,</w:t>
      </w:r>
      <w:r w:rsidRPr="003940D0">
        <w:rPr>
          <w:rFonts w:cs="Arial"/>
          <w:sz w:val="24"/>
          <w:szCs w:val="24"/>
          <w:lang w:val="en-US"/>
        </w:rPr>
        <w:t xml:space="preserve"> </w:t>
      </w:r>
      <w:r w:rsidR="007058CA" w:rsidRPr="003940D0">
        <w:rPr>
          <w:rFonts w:cs="Arial"/>
          <w:sz w:val="24"/>
          <w:szCs w:val="24"/>
          <w:lang w:val="en-US"/>
        </w:rPr>
        <w:t>ocean</w:t>
      </w:r>
      <w:r w:rsidR="00BE1186" w:rsidRPr="003940D0">
        <w:rPr>
          <w:rFonts w:cs="Arial"/>
          <w:sz w:val="24"/>
          <w:szCs w:val="24"/>
          <w:lang w:val="en-US"/>
        </w:rPr>
        <w:t>ic</w:t>
      </w:r>
      <w:r w:rsidR="007058CA" w:rsidRPr="003940D0">
        <w:rPr>
          <w:rFonts w:cs="Arial"/>
          <w:sz w:val="24"/>
          <w:szCs w:val="24"/>
          <w:lang w:val="en-US"/>
        </w:rPr>
        <w:t xml:space="preserve"> </w:t>
      </w:r>
      <w:r w:rsidR="00BE1186" w:rsidRPr="003940D0">
        <w:rPr>
          <w:rFonts w:cs="Arial"/>
          <w:sz w:val="24"/>
          <w:szCs w:val="24"/>
          <w:lang w:val="en-US"/>
        </w:rPr>
        <w:t xml:space="preserve">change </w:t>
      </w:r>
      <w:r w:rsidRPr="003940D0">
        <w:rPr>
          <w:rFonts w:cs="Arial"/>
          <w:sz w:val="24"/>
          <w:szCs w:val="24"/>
          <w:lang w:val="en-US"/>
        </w:rPr>
        <w:t>on Canadian coastal</w:t>
      </w:r>
      <w:r w:rsidR="007058CA" w:rsidRPr="003940D0">
        <w:rPr>
          <w:rFonts w:cs="Arial"/>
          <w:sz w:val="24"/>
          <w:szCs w:val="24"/>
          <w:lang w:val="en-US"/>
        </w:rPr>
        <w:t xml:space="preserve"> </w:t>
      </w:r>
      <w:r w:rsidRPr="003940D0">
        <w:rPr>
          <w:rFonts w:cs="Arial"/>
          <w:sz w:val="24"/>
          <w:szCs w:val="24"/>
          <w:lang w:val="en-US"/>
        </w:rPr>
        <w:t>communities, ecosystems and economic interests, including implications for resource</w:t>
      </w:r>
      <w:r w:rsidR="007058CA" w:rsidRPr="003940D0">
        <w:rPr>
          <w:rFonts w:cs="Arial"/>
          <w:sz w:val="24"/>
          <w:szCs w:val="24"/>
          <w:lang w:val="en-US"/>
        </w:rPr>
        <w:t xml:space="preserve"> </w:t>
      </w:r>
      <w:r w:rsidRPr="003940D0">
        <w:rPr>
          <w:rFonts w:cs="Arial"/>
          <w:sz w:val="24"/>
          <w:szCs w:val="24"/>
          <w:lang w:val="en-US"/>
        </w:rPr>
        <w:t>management, regulation and policy.</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3940D0" w:rsidRDefault="00692C11"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Introduce new approaches for training of highly qualified personnel with skills in the natural and social sciences and their use in solving problems related to marine risk.</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6C49EE" w:rsidRDefault="00692C11" w:rsidP="006C49EE">
      <w:pPr>
        <w:pStyle w:val="ListParagraph"/>
        <w:numPr>
          <w:ilvl w:val="0"/>
          <w:numId w:val="14"/>
        </w:numPr>
        <w:autoSpaceDE w:val="0"/>
        <w:autoSpaceDN w:val="0"/>
        <w:adjustRightInd w:val="0"/>
        <w:spacing w:after="0" w:line="240" w:lineRule="auto"/>
        <w:rPr>
          <w:rFonts w:cs="Arial"/>
          <w:sz w:val="24"/>
          <w:szCs w:val="24"/>
          <w:lang w:val="en-US"/>
        </w:rPr>
      </w:pPr>
      <w:r w:rsidRPr="006C49EE">
        <w:rPr>
          <w:rFonts w:cs="Arial"/>
          <w:sz w:val="24"/>
          <w:szCs w:val="24"/>
          <w:lang w:val="en-US"/>
        </w:rPr>
        <w:t>Implement new approaches for sharing natural and social science expertise</w:t>
      </w:r>
      <w:r w:rsidR="00DF24FC">
        <w:rPr>
          <w:rFonts w:cs="Arial"/>
          <w:sz w:val="24"/>
          <w:szCs w:val="24"/>
          <w:lang w:val="en-US"/>
        </w:rPr>
        <w:t>, data</w:t>
      </w:r>
      <w:r w:rsidRPr="006C49EE">
        <w:rPr>
          <w:rFonts w:cs="Arial"/>
          <w:sz w:val="24"/>
          <w:szCs w:val="24"/>
          <w:lang w:val="en-US"/>
        </w:rPr>
        <w:t xml:space="preserve"> and infrastructure in order to respond more effectively to marine emergencies.</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6C49EE" w:rsidRDefault="00692C11" w:rsidP="006C49EE">
      <w:pPr>
        <w:pStyle w:val="ListParagraph"/>
        <w:numPr>
          <w:ilvl w:val="0"/>
          <w:numId w:val="14"/>
        </w:numPr>
        <w:autoSpaceDE w:val="0"/>
        <w:autoSpaceDN w:val="0"/>
        <w:adjustRightInd w:val="0"/>
        <w:spacing w:after="0" w:line="240" w:lineRule="auto"/>
        <w:rPr>
          <w:rFonts w:cs="Arial"/>
          <w:sz w:val="24"/>
          <w:szCs w:val="24"/>
          <w:lang w:val="en-US"/>
        </w:rPr>
      </w:pPr>
      <w:r w:rsidRPr="006C49EE">
        <w:rPr>
          <w:rFonts w:cs="Arial"/>
          <w:sz w:val="24"/>
          <w:szCs w:val="24"/>
          <w:lang w:val="en-US"/>
        </w:rPr>
        <w:t xml:space="preserve">Establish an “Expert Forum” </w:t>
      </w:r>
      <w:r w:rsidR="00E3381D" w:rsidRPr="006C49EE">
        <w:rPr>
          <w:rFonts w:cs="Arial"/>
          <w:sz w:val="24"/>
          <w:szCs w:val="24"/>
          <w:lang w:val="en-US"/>
        </w:rPr>
        <w:t>involving</w:t>
      </w:r>
      <w:r w:rsidRPr="006C49EE">
        <w:rPr>
          <w:rFonts w:cs="Arial"/>
          <w:sz w:val="24"/>
          <w:szCs w:val="24"/>
          <w:lang w:val="en-US"/>
        </w:rPr>
        <w:t xml:space="preserve"> Canadian and international experts</w:t>
      </w:r>
      <w:r w:rsidR="00E3381D" w:rsidRPr="006C49EE">
        <w:rPr>
          <w:rFonts w:cs="Arial"/>
          <w:sz w:val="24"/>
          <w:szCs w:val="24"/>
          <w:lang w:val="en-US"/>
        </w:rPr>
        <w:t xml:space="preserve">, </w:t>
      </w:r>
      <w:r w:rsidR="00E5619E" w:rsidRPr="006C49EE">
        <w:rPr>
          <w:rFonts w:cs="Arial"/>
          <w:sz w:val="24"/>
          <w:szCs w:val="24"/>
          <w:lang w:val="en-US"/>
        </w:rPr>
        <w:t xml:space="preserve">policymakers and stakeholders for the </w:t>
      </w:r>
      <w:r w:rsidRPr="006C49EE">
        <w:rPr>
          <w:rFonts w:cs="Arial"/>
          <w:sz w:val="24"/>
          <w:szCs w:val="24"/>
          <w:lang w:val="en-US"/>
        </w:rPr>
        <w:t>illumination, evaluation and communication of emerging and new risks in the marine</w:t>
      </w:r>
      <w:r w:rsidR="007058CA" w:rsidRPr="006C49EE">
        <w:rPr>
          <w:rFonts w:cs="Arial"/>
          <w:sz w:val="24"/>
          <w:szCs w:val="24"/>
          <w:lang w:val="en-US"/>
        </w:rPr>
        <w:t xml:space="preserve"> </w:t>
      </w:r>
      <w:r w:rsidRPr="006C49EE">
        <w:rPr>
          <w:rFonts w:cs="Arial"/>
          <w:sz w:val="24"/>
          <w:szCs w:val="24"/>
          <w:lang w:val="en-US"/>
        </w:rPr>
        <w:t>environment.</w:t>
      </w:r>
    </w:p>
    <w:p w:rsidR="00692C11" w:rsidRPr="00692C11" w:rsidRDefault="00692C11" w:rsidP="002A2AF4">
      <w:pPr>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sidRPr="00692C11">
        <w:rPr>
          <w:rFonts w:asciiTheme="majorHAnsi" w:eastAsiaTheme="majorEastAsia" w:hAnsiTheme="majorHAnsi" w:cstheme="majorBidi"/>
          <w:b/>
          <w:bCs/>
          <w:color w:val="365F91" w:themeColor="accent1" w:themeShade="BF"/>
          <w:sz w:val="28"/>
          <w:szCs w:val="28"/>
          <w:lang w:val="en-US"/>
        </w:rPr>
        <w:t>Performance</w:t>
      </w:r>
    </w:p>
    <w:p w:rsidR="00692C11" w:rsidRPr="00692C11" w:rsidRDefault="00692C11" w:rsidP="00692C11">
      <w:pPr>
        <w:rPr>
          <w:lang w:val="en-US"/>
        </w:rPr>
      </w:pPr>
    </w:p>
    <w:p w:rsidR="002A2AF4" w:rsidRPr="00296543" w:rsidRDefault="00692C11" w:rsidP="006C49EE">
      <w:pPr>
        <w:spacing w:after="0"/>
        <w:rPr>
          <w:rFonts w:eastAsia="Cambria" w:cs="Times New Roman"/>
          <w:sz w:val="24"/>
          <w:szCs w:val="24"/>
          <w:lang w:val="en-US"/>
        </w:rPr>
      </w:pPr>
      <w:r w:rsidRPr="00296543">
        <w:rPr>
          <w:rFonts w:eastAsia="Cambria" w:cs="Times New Roman"/>
          <w:sz w:val="24"/>
          <w:szCs w:val="24"/>
          <w:lang w:val="en-US"/>
        </w:rPr>
        <w:t>MEOPAR will use regular assessments of performance</w:t>
      </w:r>
      <w:r w:rsidR="00A90F2D" w:rsidRPr="00296543">
        <w:rPr>
          <w:rFonts w:eastAsia="Cambria" w:cs="Times New Roman"/>
          <w:sz w:val="24"/>
          <w:szCs w:val="24"/>
          <w:lang w:val="en-US"/>
        </w:rPr>
        <w:t>,</w:t>
      </w:r>
      <w:r w:rsidRPr="00296543">
        <w:rPr>
          <w:rFonts w:eastAsia="Cambria" w:cs="Times New Roman"/>
          <w:sz w:val="24"/>
          <w:szCs w:val="24"/>
          <w:lang w:val="en-US"/>
        </w:rPr>
        <w:t xml:space="preserve"> </w:t>
      </w:r>
      <w:r w:rsidR="000953C2" w:rsidRPr="00296543">
        <w:rPr>
          <w:rFonts w:eastAsia="Cambria" w:cs="Times New Roman"/>
          <w:sz w:val="24"/>
          <w:szCs w:val="24"/>
          <w:lang w:val="en-US"/>
        </w:rPr>
        <w:t xml:space="preserve">including internal and external peer-review, </w:t>
      </w:r>
      <w:r w:rsidRPr="00296543">
        <w:rPr>
          <w:rFonts w:eastAsia="Cambria" w:cs="Times New Roman"/>
          <w:sz w:val="24"/>
          <w:szCs w:val="24"/>
          <w:lang w:val="en-US"/>
        </w:rPr>
        <w:t>to assure the excellence</w:t>
      </w:r>
      <w:r w:rsidR="00903189" w:rsidRPr="00296543">
        <w:rPr>
          <w:rFonts w:eastAsia="Cambria" w:cs="Times New Roman"/>
          <w:sz w:val="24"/>
          <w:szCs w:val="24"/>
          <w:lang w:val="en-US"/>
        </w:rPr>
        <w:t>, relevance and utility</w:t>
      </w:r>
      <w:r w:rsidRPr="00296543">
        <w:rPr>
          <w:rFonts w:eastAsia="Cambria" w:cs="Times New Roman"/>
          <w:sz w:val="24"/>
          <w:szCs w:val="24"/>
          <w:lang w:val="en-US"/>
        </w:rPr>
        <w:t xml:space="preserve"> of its </w:t>
      </w:r>
      <w:r w:rsidR="00903189" w:rsidRPr="00296543">
        <w:rPr>
          <w:rFonts w:eastAsia="Cambria" w:cs="Times New Roman"/>
          <w:sz w:val="24"/>
          <w:szCs w:val="24"/>
          <w:lang w:val="en-US"/>
        </w:rPr>
        <w:t>activities and progress relative to this strategic plan</w:t>
      </w:r>
      <w:r w:rsidRPr="00296543">
        <w:rPr>
          <w:rFonts w:eastAsia="Cambria" w:cs="Times New Roman"/>
          <w:sz w:val="24"/>
          <w:szCs w:val="24"/>
          <w:lang w:val="en-US"/>
        </w:rPr>
        <w:t xml:space="preserve">. </w:t>
      </w:r>
      <w:r w:rsidR="00364DE0" w:rsidRPr="00296543">
        <w:rPr>
          <w:rFonts w:eastAsia="Cambria" w:cs="Times New Roman"/>
          <w:sz w:val="24"/>
          <w:szCs w:val="24"/>
          <w:lang w:val="en-US"/>
        </w:rPr>
        <w:t xml:space="preserve"> MEOPAR’s Research Management Committee will </w:t>
      </w:r>
      <w:r w:rsidR="000953C2" w:rsidRPr="00296543">
        <w:rPr>
          <w:rFonts w:eastAsia="Cambria" w:cs="Times New Roman"/>
          <w:sz w:val="24"/>
          <w:szCs w:val="24"/>
          <w:lang w:val="en-US"/>
        </w:rPr>
        <w:t>monitor</w:t>
      </w:r>
      <w:r w:rsidR="00364DE0" w:rsidRPr="00296543">
        <w:rPr>
          <w:rFonts w:eastAsia="Cambria" w:cs="Times New Roman"/>
          <w:sz w:val="24"/>
          <w:szCs w:val="24"/>
          <w:lang w:val="en-US"/>
        </w:rPr>
        <w:t xml:space="preserve"> progress of the funded projects and activities </w:t>
      </w:r>
      <w:r w:rsidR="000953C2" w:rsidRPr="00296543">
        <w:rPr>
          <w:rFonts w:eastAsia="Cambria" w:cs="Times New Roman"/>
          <w:sz w:val="24"/>
          <w:szCs w:val="24"/>
          <w:lang w:val="en-US"/>
        </w:rPr>
        <w:t>relative</w:t>
      </w:r>
      <w:r w:rsidR="00903189" w:rsidRPr="00296543">
        <w:rPr>
          <w:rFonts w:eastAsia="Cambria" w:cs="Times New Roman"/>
          <w:sz w:val="24"/>
          <w:szCs w:val="24"/>
          <w:lang w:val="en-US"/>
        </w:rPr>
        <w:t xml:space="preserve"> to the research plan</w:t>
      </w:r>
      <w:r w:rsidR="000953C2" w:rsidRPr="00296543">
        <w:rPr>
          <w:rFonts w:eastAsia="Cambria" w:cs="Times New Roman"/>
          <w:sz w:val="24"/>
          <w:szCs w:val="24"/>
          <w:lang w:val="en-US"/>
        </w:rPr>
        <w:t>,</w:t>
      </w:r>
      <w:r w:rsidR="00903189" w:rsidRPr="00296543">
        <w:rPr>
          <w:rFonts w:eastAsia="Cambria" w:cs="Times New Roman"/>
          <w:sz w:val="24"/>
          <w:szCs w:val="24"/>
          <w:lang w:val="en-US"/>
        </w:rPr>
        <w:t xml:space="preserve"> including </w:t>
      </w:r>
      <w:r w:rsidR="000953C2" w:rsidRPr="00296543">
        <w:rPr>
          <w:rFonts w:eastAsia="Cambria" w:cs="Times New Roman"/>
          <w:sz w:val="24"/>
          <w:szCs w:val="24"/>
          <w:lang w:val="en-US"/>
        </w:rPr>
        <w:t xml:space="preserve">assessment of </w:t>
      </w:r>
      <w:r w:rsidR="00364DE0" w:rsidRPr="00296543">
        <w:rPr>
          <w:rFonts w:eastAsia="Cambria" w:cs="Times New Roman"/>
          <w:sz w:val="24"/>
          <w:szCs w:val="24"/>
          <w:lang w:val="en-US"/>
        </w:rPr>
        <w:t xml:space="preserve">scientific advances and outcomes in training, knowledge and technology exchange and exploitation, commercialization and networking. </w:t>
      </w:r>
      <w:r w:rsidR="00A90F2D" w:rsidRPr="00296543">
        <w:rPr>
          <w:rFonts w:eastAsia="Cambria" w:cs="Times New Roman"/>
          <w:sz w:val="24"/>
          <w:szCs w:val="24"/>
          <w:lang w:val="en-US"/>
        </w:rPr>
        <w:t xml:space="preserve"> </w:t>
      </w:r>
      <w:r w:rsidR="00364DE0" w:rsidRPr="00296543">
        <w:rPr>
          <w:rFonts w:eastAsia="Cambria" w:cs="Times New Roman"/>
          <w:sz w:val="24"/>
          <w:szCs w:val="24"/>
          <w:lang w:val="en-US"/>
        </w:rPr>
        <w:t xml:space="preserve">The Board will use these assessments to </w:t>
      </w:r>
      <w:r w:rsidR="007B0C2A" w:rsidRPr="00296543">
        <w:rPr>
          <w:rFonts w:eastAsia="Cambria" w:cs="Times New Roman"/>
          <w:sz w:val="24"/>
          <w:szCs w:val="24"/>
          <w:lang w:val="en-US"/>
        </w:rPr>
        <w:t xml:space="preserve">monitor progress towards realization of the Network’s Strategic Outcome and </w:t>
      </w:r>
      <w:r w:rsidR="00364DE0" w:rsidRPr="00296543">
        <w:rPr>
          <w:rFonts w:eastAsia="Cambria" w:cs="Times New Roman"/>
          <w:sz w:val="24"/>
          <w:szCs w:val="24"/>
          <w:lang w:val="en-US"/>
        </w:rPr>
        <w:t>guide progress</w:t>
      </w:r>
      <w:r w:rsidR="000953C2" w:rsidRPr="00296543">
        <w:rPr>
          <w:rFonts w:eastAsia="Cambria" w:cs="Times New Roman"/>
          <w:sz w:val="24"/>
          <w:szCs w:val="24"/>
          <w:lang w:val="en-US"/>
        </w:rPr>
        <w:t xml:space="preserve"> towards the goals and objectives</w:t>
      </w:r>
      <w:r w:rsidR="00364DE0" w:rsidRPr="00296543">
        <w:rPr>
          <w:rFonts w:eastAsia="Cambria" w:cs="Times New Roman"/>
          <w:sz w:val="24"/>
          <w:szCs w:val="24"/>
          <w:lang w:val="en-US"/>
        </w:rPr>
        <w:t xml:space="preserve"> </w:t>
      </w:r>
      <w:r w:rsidR="000953C2" w:rsidRPr="00296543">
        <w:rPr>
          <w:rFonts w:eastAsia="Cambria" w:cs="Times New Roman"/>
          <w:sz w:val="24"/>
          <w:szCs w:val="24"/>
          <w:lang w:val="en-US"/>
        </w:rPr>
        <w:t>of</w:t>
      </w:r>
      <w:r w:rsidR="00364DE0" w:rsidRPr="00296543">
        <w:rPr>
          <w:rFonts w:eastAsia="Cambria" w:cs="Times New Roman"/>
          <w:sz w:val="24"/>
          <w:szCs w:val="24"/>
          <w:lang w:val="en-US"/>
        </w:rPr>
        <w:t xml:space="preserve"> th</w:t>
      </w:r>
      <w:r w:rsidR="001D2394">
        <w:rPr>
          <w:rFonts w:eastAsia="Cambria" w:cs="Times New Roman"/>
          <w:sz w:val="24"/>
          <w:szCs w:val="24"/>
          <w:lang w:val="en-US"/>
        </w:rPr>
        <w:t>is</w:t>
      </w:r>
      <w:r w:rsidR="00364DE0" w:rsidRPr="00296543">
        <w:rPr>
          <w:rFonts w:eastAsia="Cambria" w:cs="Times New Roman"/>
          <w:sz w:val="24"/>
          <w:szCs w:val="24"/>
          <w:lang w:val="en-US"/>
        </w:rPr>
        <w:t xml:space="preserve"> </w:t>
      </w:r>
      <w:r w:rsidR="001D2394">
        <w:rPr>
          <w:rFonts w:eastAsia="Cambria" w:cs="Times New Roman"/>
          <w:sz w:val="24"/>
          <w:szCs w:val="24"/>
          <w:lang w:val="en-US"/>
        </w:rPr>
        <w:t>S</w:t>
      </w:r>
      <w:r w:rsidR="00364DE0" w:rsidRPr="00296543">
        <w:rPr>
          <w:rFonts w:eastAsia="Cambria" w:cs="Times New Roman"/>
          <w:sz w:val="24"/>
          <w:szCs w:val="24"/>
          <w:lang w:val="en-US"/>
        </w:rPr>
        <w:t xml:space="preserve">trategic </w:t>
      </w:r>
      <w:r w:rsidR="001D2394">
        <w:rPr>
          <w:rFonts w:eastAsia="Cambria" w:cs="Times New Roman"/>
          <w:sz w:val="24"/>
          <w:szCs w:val="24"/>
          <w:lang w:val="en-US"/>
        </w:rPr>
        <w:t>P</w:t>
      </w:r>
      <w:r w:rsidR="00364DE0" w:rsidRPr="00296543">
        <w:rPr>
          <w:rFonts w:eastAsia="Cambria" w:cs="Times New Roman"/>
          <w:sz w:val="24"/>
          <w:szCs w:val="24"/>
          <w:lang w:val="en-US"/>
        </w:rPr>
        <w:t>lan</w:t>
      </w:r>
      <w:r w:rsidR="007B0C2A" w:rsidRPr="00296543">
        <w:rPr>
          <w:rFonts w:eastAsia="Cambria" w:cs="Times New Roman"/>
          <w:sz w:val="24"/>
          <w:szCs w:val="24"/>
          <w:lang w:val="en-US"/>
        </w:rPr>
        <w:t>. The Board will also monitor</w:t>
      </w:r>
      <w:r w:rsidR="00364DE0" w:rsidRPr="00296543">
        <w:rPr>
          <w:rFonts w:eastAsia="Cambria" w:cs="Times New Roman"/>
          <w:sz w:val="24"/>
          <w:szCs w:val="24"/>
          <w:lang w:val="en-US"/>
        </w:rPr>
        <w:t xml:space="preserve"> </w:t>
      </w:r>
      <w:r w:rsidR="007B0C2A" w:rsidRPr="00296543">
        <w:rPr>
          <w:rFonts w:eastAsia="Cambria" w:cs="Times New Roman"/>
          <w:sz w:val="24"/>
          <w:szCs w:val="24"/>
          <w:lang w:val="en-US"/>
        </w:rPr>
        <w:t>performance of the Network’s program management</w:t>
      </w:r>
      <w:r w:rsidR="00364DE0" w:rsidRPr="00296543">
        <w:rPr>
          <w:rFonts w:eastAsia="Cambria" w:cs="Times New Roman"/>
          <w:sz w:val="24"/>
          <w:szCs w:val="24"/>
          <w:lang w:val="en-US"/>
        </w:rPr>
        <w:t>.</w:t>
      </w:r>
      <w:r w:rsidR="002218EE" w:rsidRPr="00296543">
        <w:rPr>
          <w:rFonts w:eastAsia="Cambria" w:cs="Times New Roman"/>
          <w:sz w:val="24"/>
          <w:szCs w:val="24"/>
          <w:lang w:val="en-US"/>
        </w:rPr>
        <w:t xml:space="preserve"> Annual </w:t>
      </w:r>
      <w:r w:rsidR="00303FAB" w:rsidRPr="00296543">
        <w:rPr>
          <w:rFonts w:eastAsia="Cambria" w:cs="Times New Roman"/>
          <w:sz w:val="24"/>
          <w:szCs w:val="24"/>
          <w:lang w:val="en-US"/>
        </w:rPr>
        <w:t xml:space="preserve">performance </w:t>
      </w:r>
      <w:r w:rsidR="002218EE" w:rsidRPr="00296543">
        <w:rPr>
          <w:rFonts w:eastAsia="Cambria" w:cs="Times New Roman"/>
          <w:sz w:val="24"/>
          <w:szCs w:val="24"/>
          <w:lang w:val="en-US"/>
        </w:rPr>
        <w:t>assessments will be conducted</w:t>
      </w:r>
      <w:r w:rsidR="007B0C2A" w:rsidRPr="00296543">
        <w:rPr>
          <w:rFonts w:eastAsia="Cambria" w:cs="Times New Roman"/>
          <w:sz w:val="24"/>
          <w:szCs w:val="24"/>
          <w:lang w:val="en-US"/>
        </w:rPr>
        <w:t xml:space="preserve"> </w:t>
      </w:r>
      <w:r w:rsidR="002218EE" w:rsidRPr="00296543">
        <w:rPr>
          <w:rFonts w:eastAsia="Cambria" w:cs="Times New Roman"/>
          <w:sz w:val="24"/>
          <w:szCs w:val="24"/>
          <w:lang w:val="en-US"/>
        </w:rPr>
        <w:t xml:space="preserve">under </w:t>
      </w:r>
      <w:r w:rsidR="001226E2" w:rsidRPr="00296543">
        <w:rPr>
          <w:rFonts w:eastAsia="Cambria" w:cs="Times New Roman"/>
          <w:sz w:val="24"/>
          <w:szCs w:val="24"/>
          <w:lang w:val="en-US"/>
        </w:rPr>
        <w:t>a range of</w:t>
      </w:r>
      <w:r w:rsidR="000953C2" w:rsidRPr="00296543">
        <w:rPr>
          <w:rFonts w:eastAsia="Cambria" w:cs="Times New Roman"/>
          <w:sz w:val="24"/>
          <w:szCs w:val="24"/>
          <w:lang w:val="en-US"/>
        </w:rPr>
        <w:t xml:space="preserve"> categories </w:t>
      </w:r>
      <w:r w:rsidR="001226E2" w:rsidRPr="00296543">
        <w:rPr>
          <w:rFonts w:eastAsia="Cambria" w:cs="Times New Roman"/>
          <w:sz w:val="24"/>
          <w:szCs w:val="24"/>
          <w:lang w:val="en-US"/>
        </w:rPr>
        <w:t xml:space="preserve">using </w:t>
      </w:r>
      <w:r w:rsidR="007B0C2A" w:rsidRPr="00296543">
        <w:rPr>
          <w:rFonts w:eastAsia="Cambria" w:cs="Times New Roman"/>
          <w:sz w:val="24"/>
          <w:szCs w:val="24"/>
          <w:lang w:val="en-US"/>
        </w:rPr>
        <w:t xml:space="preserve">the </w:t>
      </w:r>
      <w:r w:rsidR="001226E2" w:rsidRPr="00296543">
        <w:rPr>
          <w:rFonts w:eastAsia="Cambria" w:cs="Times New Roman"/>
          <w:sz w:val="24"/>
          <w:szCs w:val="24"/>
          <w:lang w:val="en-US"/>
        </w:rPr>
        <w:t xml:space="preserve">measures and tools in </w:t>
      </w:r>
      <w:r w:rsidR="000953C2" w:rsidRPr="00296543">
        <w:rPr>
          <w:rFonts w:eastAsia="Cambria" w:cs="Times New Roman"/>
          <w:sz w:val="24"/>
          <w:szCs w:val="24"/>
          <w:lang w:val="en-US"/>
        </w:rPr>
        <w:t>Table S1</w:t>
      </w:r>
      <w:r w:rsidR="002218EE" w:rsidRPr="00296543">
        <w:rPr>
          <w:rFonts w:eastAsia="Cambria" w:cs="Times New Roman"/>
          <w:sz w:val="24"/>
          <w:szCs w:val="24"/>
          <w:lang w:val="en-US"/>
        </w:rPr>
        <w:t>:</w:t>
      </w:r>
    </w:p>
    <w:p w:rsidR="000953C2" w:rsidRDefault="000953C2" w:rsidP="00692C11">
      <w:pPr>
        <w:rPr>
          <w:rFonts w:ascii="Cambria" w:eastAsia="Cambria" w:hAnsi="Cambria" w:cs="Times New Roman"/>
          <w:sz w:val="24"/>
          <w:szCs w:val="24"/>
          <w:lang w:val="en-US"/>
        </w:rPr>
      </w:pPr>
    </w:p>
    <w:p w:rsidR="002C12B2" w:rsidRDefault="002C12B2">
      <w:pPr>
        <w:rPr>
          <w:rFonts w:eastAsia="Cambria" w:cs="Times New Roman"/>
          <w:sz w:val="24"/>
          <w:szCs w:val="24"/>
          <w:lang w:val="en-US"/>
        </w:rPr>
      </w:pPr>
      <w:r>
        <w:rPr>
          <w:rFonts w:eastAsia="Cambria" w:cs="Times New Roman"/>
          <w:sz w:val="24"/>
          <w:szCs w:val="24"/>
          <w:lang w:val="en-US"/>
        </w:rPr>
        <w:br w:type="page"/>
      </w:r>
    </w:p>
    <w:p w:rsidR="009B1714" w:rsidRPr="00AB2953" w:rsidRDefault="000953C2" w:rsidP="00692C11">
      <w:pPr>
        <w:rPr>
          <w:rFonts w:eastAsia="Cambria" w:cs="Times New Roman"/>
          <w:i/>
          <w:sz w:val="24"/>
          <w:szCs w:val="24"/>
          <w:lang w:val="en-US"/>
        </w:rPr>
      </w:pPr>
      <w:r w:rsidRPr="00AB2953">
        <w:rPr>
          <w:rFonts w:eastAsia="Cambria" w:cs="Times New Roman"/>
          <w:i/>
          <w:sz w:val="24"/>
          <w:szCs w:val="24"/>
          <w:lang w:val="en-US"/>
        </w:rPr>
        <w:t xml:space="preserve">Table S1. Summary listing of MEOPAR performance assessment activities. </w:t>
      </w:r>
      <w:r w:rsidR="00DE2E8E" w:rsidRPr="00AB2953">
        <w:rPr>
          <w:rFonts w:eastAsia="Cambria" w:cs="Times New Roman"/>
          <w:i/>
          <w:sz w:val="24"/>
          <w:szCs w:val="24"/>
          <w:lang w:val="en-US"/>
        </w:rPr>
        <w:t xml:space="preserve">Quantitative targets are to be set in the Research Plan. </w:t>
      </w:r>
      <w:r w:rsidRPr="00AB2953">
        <w:rPr>
          <w:rFonts w:eastAsia="Cambria" w:cs="Times New Roman"/>
          <w:i/>
          <w:sz w:val="24"/>
          <w:szCs w:val="24"/>
          <w:lang w:val="en-US"/>
        </w:rPr>
        <w:t>(NI = Network Investigator; RMC = Research Management Committee; ISAC = International Scientific Advisory Committee; SD = Scientific Director; ASD = Associate Scientific Director).</w:t>
      </w:r>
    </w:p>
    <w:tbl>
      <w:tblPr>
        <w:tblStyle w:val="TableGrid"/>
        <w:tblW w:w="0" w:type="auto"/>
        <w:tblLook w:val="04A0"/>
      </w:tblPr>
      <w:tblGrid>
        <w:gridCol w:w="1384"/>
        <w:gridCol w:w="2693"/>
        <w:gridCol w:w="2977"/>
        <w:gridCol w:w="2268"/>
      </w:tblGrid>
      <w:tr w:rsidR="00AB40C6" w:rsidRPr="000953C2">
        <w:tc>
          <w:tcPr>
            <w:tcW w:w="1384" w:type="dxa"/>
          </w:tcPr>
          <w:p w:rsidR="00AB40C6" w:rsidRDefault="001226E2" w:rsidP="00692C11">
            <w:pPr>
              <w:rPr>
                <w:lang w:val="en-US"/>
              </w:rPr>
            </w:pPr>
            <w:r>
              <w:rPr>
                <w:lang w:val="en-US"/>
              </w:rPr>
              <w:t>Category</w:t>
            </w:r>
          </w:p>
        </w:tc>
        <w:tc>
          <w:tcPr>
            <w:tcW w:w="2693" w:type="dxa"/>
          </w:tcPr>
          <w:p w:rsidR="00AB40C6" w:rsidRDefault="00AB40C6" w:rsidP="00692C11">
            <w:pPr>
              <w:rPr>
                <w:lang w:val="en-US"/>
              </w:rPr>
            </w:pPr>
            <w:r>
              <w:rPr>
                <w:lang w:val="en-US"/>
              </w:rPr>
              <w:t>Measures</w:t>
            </w:r>
          </w:p>
        </w:tc>
        <w:tc>
          <w:tcPr>
            <w:tcW w:w="2977" w:type="dxa"/>
          </w:tcPr>
          <w:p w:rsidR="00AB40C6" w:rsidRDefault="009A6506" w:rsidP="00692C11">
            <w:pPr>
              <w:rPr>
                <w:lang w:val="en-US"/>
              </w:rPr>
            </w:pPr>
            <w:r>
              <w:rPr>
                <w:lang w:val="en-US"/>
              </w:rPr>
              <w:t xml:space="preserve">Assessment </w:t>
            </w:r>
            <w:r w:rsidR="00AB40C6">
              <w:rPr>
                <w:lang w:val="en-US"/>
              </w:rPr>
              <w:t>Tool</w:t>
            </w:r>
            <w:r w:rsidR="00AF2770">
              <w:rPr>
                <w:lang w:val="en-US"/>
              </w:rPr>
              <w:t>s</w:t>
            </w:r>
          </w:p>
        </w:tc>
        <w:tc>
          <w:tcPr>
            <w:tcW w:w="2268" w:type="dxa"/>
          </w:tcPr>
          <w:p w:rsidR="00AB40C6" w:rsidRDefault="00AB40C6" w:rsidP="00692C11">
            <w:pPr>
              <w:rPr>
                <w:lang w:val="en-US"/>
              </w:rPr>
            </w:pPr>
            <w:r>
              <w:rPr>
                <w:lang w:val="en-US"/>
              </w:rPr>
              <w:t>Responsible Parties</w:t>
            </w:r>
          </w:p>
        </w:tc>
      </w:tr>
      <w:tr w:rsidR="002F01EC" w:rsidRPr="00DE2E8E">
        <w:tc>
          <w:tcPr>
            <w:tcW w:w="1384" w:type="dxa"/>
          </w:tcPr>
          <w:p w:rsidR="002F01EC" w:rsidRPr="00AB40C6" w:rsidRDefault="002F01EC" w:rsidP="00692C11">
            <w:pPr>
              <w:rPr>
                <w:sz w:val="16"/>
                <w:szCs w:val="16"/>
                <w:lang w:val="en-US"/>
              </w:rPr>
            </w:pPr>
          </w:p>
        </w:tc>
        <w:tc>
          <w:tcPr>
            <w:tcW w:w="2693" w:type="dxa"/>
          </w:tcPr>
          <w:p w:rsidR="002F01EC" w:rsidRPr="00AB40C6" w:rsidRDefault="002F01EC" w:rsidP="00692C11">
            <w:pPr>
              <w:rPr>
                <w:sz w:val="16"/>
                <w:szCs w:val="16"/>
                <w:lang w:val="en-US"/>
              </w:rPr>
            </w:pPr>
          </w:p>
        </w:tc>
        <w:tc>
          <w:tcPr>
            <w:tcW w:w="2977" w:type="dxa"/>
          </w:tcPr>
          <w:p w:rsidR="002F01EC" w:rsidRDefault="002F01EC" w:rsidP="00AB40C6">
            <w:pPr>
              <w:rPr>
                <w:sz w:val="16"/>
                <w:szCs w:val="16"/>
                <w:lang w:val="en-US"/>
              </w:rPr>
            </w:pPr>
          </w:p>
        </w:tc>
        <w:tc>
          <w:tcPr>
            <w:tcW w:w="2268" w:type="dxa"/>
          </w:tcPr>
          <w:p w:rsidR="002F01EC" w:rsidRDefault="002F01EC" w:rsidP="00692C11">
            <w:pPr>
              <w:rPr>
                <w:sz w:val="16"/>
                <w:szCs w:val="16"/>
                <w:lang w:val="en-US"/>
              </w:rPr>
            </w:pPr>
          </w:p>
        </w:tc>
      </w:tr>
      <w:tr w:rsidR="002F01EC" w:rsidRPr="00AB40C6">
        <w:tc>
          <w:tcPr>
            <w:tcW w:w="1384" w:type="dxa"/>
          </w:tcPr>
          <w:p w:rsidR="002F01EC" w:rsidRPr="00AB40C6" w:rsidRDefault="002F01EC" w:rsidP="00216155">
            <w:pPr>
              <w:rPr>
                <w:sz w:val="16"/>
                <w:szCs w:val="16"/>
                <w:lang w:val="en-US"/>
              </w:rPr>
            </w:pPr>
            <w:r>
              <w:rPr>
                <w:sz w:val="16"/>
                <w:szCs w:val="16"/>
                <w:lang w:val="en-US"/>
              </w:rPr>
              <w:t>Progress relative to strategic plan</w:t>
            </w:r>
          </w:p>
        </w:tc>
        <w:tc>
          <w:tcPr>
            <w:tcW w:w="2693" w:type="dxa"/>
          </w:tcPr>
          <w:p w:rsidR="002F01EC" w:rsidRDefault="002F01EC" w:rsidP="00216155">
            <w:pPr>
              <w:rPr>
                <w:sz w:val="16"/>
                <w:szCs w:val="16"/>
                <w:lang w:val="en-US"/>
              </w:rPr>
            </w:pPr>
            <w:r>
              <w:rPr>
                <w:sz w:val="16"/>
                <w:szCs w:val="16"/>
                <w:lang w:val="en-US"/>
              </w:rPr>
              <w:t>Progress towards 5-year objectives</w:t>
            </w:r>
          </w:p>
          <w:p w:rsidR="002F01EC" w:rsidRDefault="002F01EC" w:rsidP="00216155">
            <w:pPr>
              <w:rPr>
                <w:sz w:val="16"/>
                <w:szCs w:val="16"/>
                <w:lang w:val="en-US"/>
              </w:rPr>
            </w:pPr>
          </w:p>
          <w:p w:rsidR="002F01EC" w:rsidRPr="00AB40C6" w:rsidRDefault="002F01EC" w:rsidP="00216155">
            <w:pPr>
              <w:rPr>
                <w:sz w:val="16"/>
                <w:szCs w:val="16"/>
                <w:lang w:val="en-US"/>
              </w:rPr>
            </w:pPr>
            <w:r>
              <w:rPr>
                <w:sz w:val="16"/>
                <w:szCs w:val="16"/>
                <w:lang w:val="en-US"/>
              </w:rPr>
              <w:t>Overall assessment</w:t>
            </w:r>
          </w:p>
        </w:tc>
        <w:tc>
          <w:tcPr>
            <w:tcW w:w="2977" w:type="dxa"/>
          </w:tcPr>
          <w:p w:rsidR="002F01EC" w:rsidRDefault="002F01EC" w:rsidP="00216155">
            <w:pPr>
              <w:rPr>
                <w:sz w:val="16"/>
                <w:szCs w:val="16"/>
                <w:lang w:val="en-US"/>
              </w:rPr>
            </w:pPr>
            <w:r>
              <w:rPr>
                <w:sz w:val="16"/>
                <w:szCs w:val="16"/>
                <w:lang w:val="en-US"/>
              </w:rPr>
              <w:t>Annual reports from project / cores</w:t>
            </w:r>
          </w:p>
          <w:p w:rsidR="002F01EC" w:rsidRDefault="002F01EC" w:rsidP="00216155">
            <w:pPr>
              <w:rPr>
                <w:sz w:val="16"/>
                <w:szCs w:val="16"/>
                <w:lang w:val="en-US"/>
              </w:rPr>
            </w:pPr>
          </w:p>
          <w:p w:rsidR="002F01EC" w:rsidRPr="00AB40C6" w:rsidRDefault="002F01EC" w:rsidP="00216155">
            <w:pPr>
              <w:rPr>
                <w:sz w:val="16"/>
                <w:szCs w:val="16"/>
                <w:lang w:val="en-US"/>
              </w:rPr>
            </w:pPr>
            <w:r>
              <w:rPr>
                <w:sz w:val="16"/>
                <w:szCs w:val="16"/>
                <w:lang w:val="en-US"/>
              </w:rPr>
              <w:t>Annual presentation by Sci. Director</w:t>
            </w:r>
          </w:p>
        </w:tc>
        <w:tc>
          <w:tcPr>
            <w:tcW w:w="2268" w:type="dxa"/>
          </w:tcPr>
          <w:p w:rsidR="002F01EC" w:rsidRDefault="002F01EC" w:rsidP="00216155">
            <w:pPr>
              <w:rPr>
                <w:sz w:val="16"/>
                <w:szCs w:val="16"/>
                <w:lang w:val="en-US"/>
              </w:rPr>
            </w:pPr>
            <w:r>
              <w:rPr>
                <w:sz w:val="16"/>
                <w:szCs w:val="16"/>
                <w:lang w:val="en-US"/>
              </w:rPr>
              <w:t>Project / Core Leads, RMC</w:t>
            </w:r>
          </w:p>
          <w:p w:rsidR="002F01EC" w:rsidRDefault="002F01EC" w:rsidP="00216155">
            <w:pPr>
              <w:rPr>
                <w:sz w:val="16"/>
                <w:szCs w:val="16"/>
                <w:lang w:val="en-US"/>
              </w:rPr>
            </w:pPr>
          </w:p>
          <w:p w:rsidR="002F01EC" w:rsidRPr="00AB40C6" w:rsidRDefault="002F01EC" w:rsidP="00216155">
            <w:pPr>
              <w:rPr>
                <w:sz w:val="16"/>
                <w:szCs w:val="16"/>
                <w:lang w:val="en-US"/>
              </w:rPr>
            </w:pPr>
            <w:r>
              <w:rPr>
                <w:sz w:val="16"/>
                <w:szCs w:val="16"/>
                <w:lang w:val="en-US"/>
              </w:rPr>
              <w:t>SD, ISAC and Board</w:t>
            </w:r>
          </w:p>
        </w:tc>
      </w:tr>
      <w:tr w:rsidR="00AB40C6" w:rsidRPr="00DE2E8E">
        <w:tc>
          <w:tcPr>
            <w:tcW w:w="1384" w:type="dxa"/>
          </w:tcPr>
          <w:p w:rsidR="00AB40C6" w:rsidRPr="00AB40C6" w:rsidRDefault="00AB40C6" w:rsidP="00692C11">
            <w:pPr>
              <w:rPr>
                <w:sz w:val="16"/>
                <w:szCs w:val="16"/>
                <w:lang w:val="en-US"/>
              </w:rPr>
            </w:pPr>
            <w:r w:rsidRPr="00AB40C6">
              <w:rPr>
                <w:sz w:val="16"/>
                <w:szCs w:val="16"/>
                <w:lang w:val="en-US"/>
              </w:rPr>
              <w:t>Excellence of research program</w:t>
            </w:r>
          </w:p>
        </w:tc>
        <w:tc>
          <w:tcPr>
            <w:tcW w:w="2693" w:type="dxa"/>
          </w:tcPr>
          <w:p w:rsidR="00AB40C6" w:rsidRDefault="00AB40C6" w:rsidP="00692C11">
            <w:pPr>
              <w:rPr>
                <w:sz w:val="16"/>
                <w:szCs w:val="16"/>
                <w:lang w:val="en-US"/>
              </w:rPr>
            </w:pPr>
            <w:r w:rsidRPr="00AB40C6">
              <w:rPr>
                <w:sz w:val="16"/>
                <w:szCs w:val="16"/>
                <w:lang w:val="en-US"/>
              </w:rPr>
              <w:t>Peer-review</w:t>
            </w:r>
            <w:r>
              <w:rPr>
                <w:sz w:val="16"/>
                <w:szCs w:val="16"/>
                <w:lang w:val="en-US"/>
              </w:rPr>
              <w:t xml:space="preserve">ed publications; </w:t>
            </w:r>
            <w:r w:rsidRPr="00AB40C6">
              <w:rPr>
                <w:sz w:val="16"/>
                <w:szCs w:val="16"/>
                <w:lang w:val="en-US"/>
              </w:rPr>
              <w:t>reports</w:t>
            </w:r>
            <w:r w:rsidR="000953C2">
              <w:rPr>
                <w:sz w:val="16"/>
                <w:szCs w:val="16"/>
                <w:lang w:val="en-US"/>
              </w:rPr>
              <w:t>; presentations (with explanation of impact)</w:t>
            </w:r>
          </w:p>
          <w:p w:rsidR="00AB40C6" w:rsidRPr="00AB40C6" w:rsidRDefault="000953C2" w:rsidP="000953C2">
            <w:pPr>
              <w:rPr>
                <w:sz w:val="16"/>
                <w:szCs w:val="16"/>
                <w:lang w:val="en-US"/>
              </w:rPr>
            </w:pPr>
            <w:r>
              <w:rPr>
                <w:sz w:val="16"/>
                <w:szCs w:val="16"/>
                <w:lang w:val="en-US"/>
              </w:rPr>
              <w:t>Network-led activities</w:t>
            </w:r>
          </w:p>
        </w:tc>
        <w:tc>
          <w:tcPr>
            <w:tcW w:w="2977" w:type="dxa"/>
          </w:tcPr>
          <w:p w:rsidR="00AB40C6" w:rsidRPr="00AB40C6" w:rsidRDefault="000953C2" w:rsidP="00AB40C6">
            <w:pPr>
              <w:rPr>
                <w:sz w:val="16"/>
                <w:szCs w:val="16"/>
                <w:lang w:val="en-US"/>
              </w:rPr>
            </w:pPr>
            <w:r>
              <w:rPr>
                <w:sz w:val="16"/>
                <w:szCs w:val="16"/>
                <w:lang w:val="en-US"/>
              </w:rPr>
              <w:t>Annual reports</w:t>
            </w:r>
          </w:p>
          <w:p w:rsidR="00780BDD" w:rsidRDefault="00780BDD" w:rsidP="00692C11">
            <w:pPr>
              <w:rPr>
                <w:sz w:val="16"/>
                <w:szCs w:val="16"/>
                <w:lang w:val="en-US"/>
              </w:rPr>
            </w:pPr>
          </w:p>
          <w:p w:rsidR="000953C2" w:rsidRDefault="000953C2" w:rsidP="00692C11">
            <w:pPr>
              <w:rPr>
                <w:sz w:val="16"/>
                <w:szCs w:val="16"/>
                <w:lang w:val="en-US"/>
              </w:rPr>
            </w:pPr>
          </w:p>
          <w:p w:rsidR="00AB40C6" w:rsidRPr="00AB40C6" w:rsidRDefault="00AB40C6" w:rsidP="00692C11">
            <w:pPr>
              <w:rPr>
                <w:sz w:val="16"/>
                <w:szCs w:val="16"/>
                <w:lang w:val="en-US"/>
              </w:rPr>
            </w:pPr>
            <w:r w:rsidRPr="00AB40C6">
              <w:rPr>
                <w:sz w:val="16"/>
                <w:szCs w:val="16"/>
                <w:lang w:val="en-US"/>
              </w:rPr>
              <w:t>Organization of conferences, special issues</w:t>
            </w:r>
          </w:p>
        </w:tc>
        <w:tc>
          <w:tcPr>
            <w:tcW w:w="2268" w:type="dxa"/>
          </w:tcPr>
          <w:p w:rsidR="00AB40C6" w:rsidRDefault="00851E88" w:rsidP="00692C11">
            <w:pPr>
              <w:rPr>
                <w:sz w:val="16"/>
                <w:szCs w:val="16"/>
                <w:lang w:val="en-US"/>
              </w:rPr>
            </w:pPr>
            <w:r>
              <w:rPr>
                <w:sz w:val="16"/>
                <w:szCs w:val="16"/>
                <w:lang w:val="en-US"/>
              </w:rPr>
              <w:t xml:space="preserve">Project </w:t>
            </w:r>
            <w:r w:rsidR="00984786">
              <w:rPr>
                <w:sz w:val="16"/>
                <w:szCs w:val="16"/>
                <w:lang w:val="en-US"/>
              </w:rPr>
              <w:t xml:space="preserve">and Core </w:t>
            </w:r>
            <w:r>
              <w:rPr>
                <w:sz w:val="16"/>
                <w:szCs w:val="16"/>
                <w:lang w:val="en-US"/>
              </w:rPr>
              <w:t>Lead</w:t>
            </w:r>
            <w:r w:rsidR="00AB40C6">
              <w:rPr>
                <w:sz w:val="16"/>
                <w:szCs w:val="16"/>
                <w:lang w:val="en-US"/>
              </w:rPr>
              <w:t>s</w:t>
            </w:r>
          </w:p>
          <w:p w:rsidR="00780BDD" w:rsidRDefault="00780BDD" w:rsidP="00692C11">
            <w:pPr>
              <w:rPr>
                <w:sz w:val="16"/>
                <w:szCs w:val="16"/>
                <w:lang w:val="en-US"/>
              </w:rPr>
            </w:pPr>
          </w:p>
          <w:p w:rsidR="00081816" w:rsidRDefault="00081816" w:rsidP="00692C11">
            <w:pPr>
              <w:rPr>
                <w:sz w:val="16"/>
                <w:szCs w:val="16"/>
                <w:lang w:val="en-US"/>
              </w:rPr>
            </w:pPr>
          </w:p>
          <w:p w:rsidR="00AB40C6" w:rsidRPr="00AB40C6" w:rsidRDefault="00851E88" w:rsidP="00692C11">
            <w:pPr>
              <w:rPr>
                <w:sz w:val="16"/>
                <w:szCs w:val="16"/>
                <w:lang w:val="en-US"/>
              </w:rPr>
            </w:pPr>
            <w:r>
              <w:rPr>
                <w:sz w:val="16"/>
                <w:szCs w:val="16"/>
                <w:lang w:val="en-US"/>
              </w:rPr>
              <w:t>Comms. Coord:</w:t>
            </w:r>
          </w:p>
        </w:tc>
      </w:tr>
      <w:tr w:rsidR="00AB40C6" w:rsidRPr="00DE2E8E">
        <w:tc>
          <w:tcPr>
            <w:tcW w:w="1384" w:type="dxa"/>
          </w:tcPr>
          <w:p w:rsidR="00AB40C6" w:rsidRPr="00AB40C6" w:rsidRDefault="00AB40C6" w:rsidP="00692C11">
            <w:pPr>
              <w:rPr>
                <w:sz w:val="16"/>
                <w:szCs w:val="16"/>
                <w:lang w:val="en-US"/>
              </w:rPr>
            </w:pPr>
            <w:r>
              <w:rPr>
                <w:sz w:val="16"/>
                <w:szCs w:val="16"/>
                <w:lang w:val="en-US"/>
              </w:rPr>
              <w:t>Recruitment, training</w:t>
            </w:r>
          </w:p>
        </w:tc>
        <w:tc>
          <w:tcPr>
            <w:tcW w:w="2693" w:type="dxa"/>
          </w:tcPr>
          <w:p w:rsidR="00AB40C6" w:rsidRDefault="00AB40C6" w:rsidP="00692C11">
            <w:pPr>
              <w:rPr>
                <w:sz w:val="16"/>
                <w:szCs w:val="16"/>
                <w:lang w:val="en-US"/>
              </w:rPr>
            </w:pPr>
            <w:r>
              <w:rPr>
                <w:sz w:val="16"/>
                <w:szCs w:val="16"/>
                <w:lang w:val="en-US"/>
              </w:rPr>
              <w:t>Numbers of trainees (categorized);</w:t>
            </w:r>
          </w:p>
          <w:p w:rsidR="00AB40C6" w:rsidRDefault="00372A58" w:rsidP="00692C11">
            <w:pPr>
              <w:rPr>
                <w:sz w:val="16"/>
                <w:szCs w:val="16"/>
                <w:lang w:val="en-US"/>
              </w:rPr>
            </w:pPr>
            <w:r>
              <w:rPr>
                <w:sz w:val="16"/>
                <w:szCs w:val="16"/>
                <w:lang w:val="en-US"/>
              </w:rPr>
              <w:t xml:space="preserve">Trainee performance (dissertations, </w:t>
            </w:r>
            <w:r w:rsidR="00AB40C6">
              <w:rPr>
                <w:sz w:val="16"/>
                <w:szCs w:val="16"/>
                <w:lang w:val="en-US"/>
              </w:rPr>
              <w:t>publications, presentations</w:t>
            </w:r>
            <w:r>
              <w:rPr>
                <w:sz w:val="16"/>
                <w:szCs w:val="16"/>
                <w:lang w:val="en-US"/>
              </w:rPr>
              <w:t>, awards</w:t>
            </w:r>
            <w:r w:rsidR="00AB40C6">
              <w:rPr>
                <w:sz w:val="16"/>
                <w:szCs w:val="16"/>
                <w:lang w:val="en-US"/>
              </w:rPr>
              <w:t>)</w:t>
            </w:r>
          </w:p>
          <w:p w:rsidR="00372A58" w:rsidRDefault="00372A58" w:rsidP="00692C11">
            <w:pPr>
              <w:rPr>
                <w:sz w:val="16"/>
                <w:szCs w:val="16"/>
                <w:lang w:val="en-US"/>
              </w:rPr>
            </w:pPr>
            <w:r>
              <w:rPr>
                <w:sz w:val="16"/>
                <w:szCs w:val="16"/>
                <w:lang w:val="en-US"/>
              </w:rPr>
              <w:t>Leverage of training funds (external support, scholarships, etc)</w:t>
            </w:r>
          </w:p>
          <w:p w:rsidR="00AB40C6" w:rsidRDefault="00AB40C6" w:rsidP="00692C11">
            <w:pPr>
              <w:rPr>
                <w:sz w:val="16"/>
                <w:szCs w:val="16"/>
                <w:lang w:val="en-US"/>
              </w:rPr>
            </w:pPr>
            <w:r>
              <w:rPr>
                <w:sz w:val="16"/>
                <w:szCs w:val="16"/>
                <w:lang w:val="en-US"/>
              </w:rPr>
              <w:t>Internships (number, effectiveness)</w:t>
            </w:r>
          </w:p>
          <w:p w:rsidR="00081816" w:rsidRDefault="00081816" w:rsidP="00692C11">
            <w:pPr>
              <w:rPr>
                <w:sz w:val="16"/>
                <w:szCs w:val="16"/>
                <w:lang w:val="en-US"/>
              </w:rPr>
            </w:pPr>
            <w:r>
              <w:rPr>
                <w:sz w:val="16"/>
                <w:szCs w:val="16"/>
                <w:lang w:val="en-US"/>
              </w:rPr>
              <w:t>Network-led training activities</w:t>
            </w:r>
          </w:p>
          <w:p w:rsidR="00AB40C6" w:rsidRDefault="00AB40C6" w:rsidP="00692C11">
            <w:pPr>
              <w:rPr>
                <w:sz w:val="16"/>
                <w:szCs w:val="16"/>
                <w:lang w:val="en-US"/>
              </w:rPr>
            </w:pPr>
            <w:r>
              <w:rPr>
                <w:sz w:val="16"/>
                <w:szCs w:val="16"/>
                <w:lang w:val="en-US"/>
              </w:rPr>
              <w:t>Trainee satisfaction</w:t>
            </w:r>
          </w:p>
          <w:p w:rsidR="00AB40C6" w:rsidRDefault="00AB40C6" w:rsidP="00692C11">
            <w:pPr>
              <w:rPr>
                <w:sz w:val="16"/>
                <w:szCs w:val="16"/>
                <w:lang w:val="en-US"/>
              </w:rPr>
            </w:pPr>
            <w:r>
              <w:rPr>
                <w:sz w:val="16"/>
                <w:szCs w:val="16"/>
                <w:lang w:val="en-US"/>
              </w:rPr>
              <w:t>Career tracking</w:t>
            </w:r>
          </w:p>
          <w:p w:rsidR="00780BDD" w:rsidRPr="00AB40C6" w:rsidRDefault="00780BDD" w:rsidP="00692C11">
            <w:pPr>
              <w:rPr>
                <w:sz w:val="16"/>
                <w:szCs w:val="16"/>
                <w:lang w:val="en-US"/>
              </w:rPr>
            </w:pPr>
            <w:r>
              <w:rPr>
                <w:sz w:val="16"/>
                <w:szCs w:val="16"/>
                <w:lang w:val="en-US"/>
              </w:rPr>
              <w:t>Recruitment of new Network Investigators</w:t>
            </w:r>
          </w:p>
        </w:tc>
        <w:tc>
          <w:tcPr>
            <w:tcW w:w="2977" w:type="dxa"/>
          </w:tcPr>
          <w:p w:rsidR="00AB40C6" w:rsidRDefault="00AB40C6" w:rsidP="00692C11">
            <w:pPr>
              <w:rPr>
                <w:sz w:val="16"/>
                <w:szCs w:val="16"/>
                <w:lang w:val="en-US"/>
              </w:rPr>
            </w:pPr>
            <w:r>
              <w:rPr>
                <w:sz w:val="16"/>
                <w:szCs w:val="16"/>
                <w:lang w:val="en-US"/>
              </w:rPr>
              <w:t>Annual reports</w:t>
            </w:r>
          </w:p>
          <w:p w:rsidR="00AB40C6" w:rsidRDefault="00AB40C6" w:rsidP="00692C11">
            <w:pPr>
              <w:rPr>
                <w:sz w:val="16"/>
                <w:szCs w:val="16"/>
                <w:lang w:val="en-US"/>
              </w:rPr>
            </w:pPr>
            <w:r>
              <w:rPr>
                <w:sz w:val="16"/>
                <w:szCs w:val="16"/>
                <w:lang w:val="en-US"/>
              </w:rPr>
              <w:t>Annual reports</w:t>
            </w:r>
          </w:p>
          <w:p w:rsidR="00AB40C6" w:rsidRDefault="00AB40C6" w:rsidP="00692C11">
            <w:pPr>
              <w:rPr>
                <w:sz w:val="16"/>
                <w:szCs w:val="16"/>
                <w:lang w:val="en-US"/>
              </w:rPr>
            </w:pPr>
          </w:p>
          <w:p w:rsidR="00372A58" w:rsidRDefault="001D2394" w:rsidP="00692C11">
            <w:pPr>
              <w:rPr>
                <w:sz w:val="16"/>
                <w:szCs w:val="16"/>
                <w:lang w:val="en-US"/>
              </w:rPr>
            </w:pPr>
            <w:r>
              <w:rPr>
                <w:sz w:val="16"/>
                <w:szCs w:val="16"/>
                <w:lang w:val="en-US"/>
              </w:rPr>
              <w:t>Annual reports</w:t>
            </w:r>
          </w:p>
          <w:p w:rsidR="00372A58" w:rsidRDefault="00372A58" w:rsidP="00692C11">
            <w:pPr>
              <w:rPr>
                <w:sz w:val="16"/>
                <w:szCs w:val="16"/>
                <w:lang w:val="en-US"/>
              </w:rPr>
            </w:pPr>
          </w:p>
          <w:p w:rsidR="00AB40C6" w:rsidRDefault="00AB40C6" w:rsidP="00692C11">
            <w:pPr>
              <w:rPr>
                <w:sz w:val="16"/>
                <w:szCs w:val="16"/>
                <w:lang w:val="en-US"/>
              </w:rPr>
            </w:pPr>
            <w:r>
              <w:rPr>
                <w:sz w:val="16"/>
                <w:szCs w:val="16"/>
                <w:lang w:val="en-US"/>
              </w:rPr>
              <w:t>Annual survey of trainees and hosts</w:t>
            </w:r>
          </w:p>
          <w:p w:rsidR="00081816" w:rsidRDefault="00081816" w:rsidP="00692C11">
            <w:pPr>
              <w:rPr>
                <w:sz w:val="16"/>
                <w:szCs w:val="16"/>
                <w:lang w:val="en-US"/>
              </w:rPr>
            </w:pPr>
            <w:r>
              <w:rPr>
                <w:sz w:val="16"/>
                <w:szCs w:val="16"/>
                <w:lang w:val="en-US"/>
              </w:rPr>
              <w:t>Annual report</w:t>
            </w:r>
          </w:p>
          <w:p w:rsidR="00AB40C6" w:rsidRDefault="00081816" w:rsidP="00692C11">
            <w:pPr>
              <w:rPr>
                <w:sz w:val="16"/>
                <w:szCs w:val="16"/>
                <w:lang w:val="en-US"/>
              </w:rPr>
            </w:pPr>
            <w:r>
              <w:rPr>
                <w:sz w:val="16"/>
                <w:szCs w:val="16"/>
                <w:lang w:val="en-US"/>
              </w:rPr>
              <w:t xml:space="preserve">Social media, </w:t>
            </w:r>
            <w:r w:rsidR="00AB40C6">
              <w:rPr>
                <w:sz w:val="16"/>
                <w:szCs w:val="16"/>
                <w:lang w:val="en-US"/>
              </w:rPr>
              <w:t xml:space="preserve">Annual survey of trainees; </w:t>
            </w:r>
          </w:p>
          <w:p w:rsidR="00AB40C6" w:rsidRDefault="00AB40C6" w:rsidP="00692C11">
            <w:pPr>
              <w:rPr>
                <w:sz w:val="16"/>
                <w:szCs w:val="16"/>
                <w:lang w:val="en-US"/>
              </w:rPr>
            </w:pPr>
            <w:r>
              <w:rPr>
                <w:sz w:val="16"/>
                <w:szCs w:val="16"/>
                <w:lang w:val="en-US"/>
              </w:rPr>
              <w:t>Social media</w:t>
            </w:r>
            <w:r w:rsidR="00081816">
              <w:rPr>
                <w:sz w:val="16"/>
                <w:szCs w:val="16"/>
                <w:lang w:val="en-US"/>
              </w:rPr>
              <w:t>, annual report</w:t>
            </w:r>
          </w:p>
          <w:p w:rsidR="00780BDD" w:rsidRPr="00AB40C6" w:rsidRDefault="00DE2E8E" w:rsidP="00DE2E8E">
            <w:pPr>
              <w:rPr>
                <w:sz w:val="16"/>
                <w:szCs w:val="16"/>
                <w:lang w:val="en-US"/>
              </w:rPr>
            </w:pPr>
            <w:r>
              <w:rPr>
                <w:sz w:val="16"/>
                <w:szCs w:val="16"/>
                <w:lang w:val="en-US"/>
              </w:rPr>
              <w:t>Annual report of</w:t>
            </w:r>
            <w:r w:rsidR="00780BDD">
              <w:rPr>
                <w:sz w:val="16"/>
                <w:szCs w:val="16"/>
                <w:lang w:val="en-US"/>
              </w:rPr>
              <w:t xml:space="preserve"> Recruitment Program</w:t>
            </w:r>
          </w:p>
        </w:tc>
        <w:tc>
          <w:tcPr>
            <w:tcW w:w="2268" w:type="dxa"/>
          </w:tcPr>
          <w:p w:rsidR="00AB40C6" w:rsidRDefault="00851E88" w:rsidP="00692C11">
            <w:pPr>
              <w:rPr>
                <w:sz w:val="16"/>
                <w:szCs w:val="16"/>
                <w:lang w:val="en-US"/>
              </w:rPr>
            </w:pPr>
            <w:r>
              <w:rPr>
                <w:sz w:val="16"/>
                <w:szCs w:val="16"/>
                <w:lang w:val="en-US"/>
              </w:rPr>
              <w:t xml:space="preserve">Project </w:t>
            </w:r>
            <w:r w:rsidR="00984786">
              <w:rPr>
                <w:sz w:val="16"/>
                <w:szCs w:val="16"/>
                <w:lang w:val="en-US"/>
              </w:rPr>
              <w:t xml:space="preserve">and Core </w:t>
            </w:r>
            <w:r>
              <w:rPr>
                <w:sz w:val="16"/>
                <w:szCs w:val="16"/>
                <w:lang w:val="en-US"/>
              </w:rPr>
              <w:t>Lead</w:t>
            </w:r>
            <w:r w:rsidR="00AB40C6">
              <w:rPr>
                <w:sz w:val="16"/>
                <w:szCs w:val="16"/>
                <w:lang w:val="en-US"/>
              </w:rPr>
              <w:t>s</w:t>
            </w:r>
          </w:p>
          <w:p w:rsidR="00AB40C6" w:rsidRDefault="00851E88" w:rsidP="00692C11">
            <w:pPr>
              <w:rPr>
                <w:sz w:val="16"/>
                <w:szCs w:val="16"/>
                <w:lang w:val="en-US"/>
              </w:rPr>
            </w:pPr>
            <w:r>
              <w:rPr>
                <w:sz w:val="16"/>
                <w:szCs w:val="16"/>
                <w:lang w:val="en-US"/>
              </w:rPr>
              <w:t xml:space="preserve">Project </w:t>
            </w:r>
            <w:r w:rsidR="00984786">
              <w:rPr>
                <w:sz w:val="16"/>
                <w:szCs w:val="16"/>
                <w:lang w:val="en-US"/>
              </w:rPr>
              <w:t xml:space="preserve">and Core </w:t>
            </w:r>
            <w:r>
              <w:rPr>
                <w:sz w:val="16"/>
                <w:szCs w:val="16"/>
                <w:lang w:val="en-US"/>
              </w:rPr>
              <w:t>Lead</w:t>
            </w:r>
            <w:r w:rsidR="00AB40C6">
              <w:rPr>
                <w:sz w:val="16"/>
                <w:szCs w:val="16"/>
                <w:lang w:val="en-US"/>
              </w:rPr>
              <w:t>s</w:t>
            </w:r>
            <w:r w:rsidR="00984786">
              <w:rPr>
                <w:sz w:val="16"/>
                <w:szCs w:val="16"/>
                <w:lang w:val="en-US"/>
              </w:rPr>
              <w:t>,</w:t>
            </w:r>
          </w:p>
          <w:p w:rsidR="00851E88" w:rsidRDefault="00851E88" w:rsidP="00692C11">
            <w:pPr>
              <w:rPr>
                <w:sz w:val="16"/>
                <w:szCs w:val="16"/>
                <w:lang w:val="en-US"/>
              </w:rPr>
            </w:pPr>
          </w:p>
          <w:p w:rsidR="00AB40C6" w:rsidRDefault="00081816" w:rsidP="00692C11">
            <w:pPr>
              <w:rPr>
                <w:sz w:val="16"/>
                <w:szCs w:val="16"/>
                <w:lang w:val="en-US"/>
              </w:rPr>
            </w:pPr>
            <w:r>
              <w:rPr>
                <w:sz w:val="16"/>
                <w:szCs w:val="16"/>
                <w:lang w:val="en-US"/>
              </w:rPr>
              <w:t xml:space="preserve">Project/Core Leads; </w:t>
            </w:r>
            <w:r w:rsidR="00851E88">
              <w:rPr>
                <w:sz w:val="16"/>
                <w:szCs w:val="16"/>
                <w:lang w:val="en-US"/>
              </w:rPr>
              <w:t>Training Coord:</w:t>
            </w:r>
            <w:r w:rsidR="00DE2E8E">
              <w:rPr>
                <w:sz w:val="16"/>
                <w:szCs w:val="16"/>
                <w:lang w:val="en-US"/>
              </w:rPr>
              <w:t xml:space="preserve"> </w:t>
            </w:r>
          </w:p>
          <w:p w:rsidR="00DE2E8E" w:rsidRDefault="00081816" w:rsidP="00692C11">
            <w:pPr>
              <w:rPr>
                <w:sz w:val="16"/>
                <w:szCs w:val="16"/>
                <w:lang w:val="en-US"/>
              </w:rPr>
            </w:pPr>
            <w:r>
              <w:rPr>
                <w:sz w:val="16"/>
                <w:szCs w:val="16"/>
                <w:lang w:val="en-US"/>
              </w:rPr>
              <w:t>Training Coord.</w:t>
            </w:r>
          </w:p>
          <w:p w:rsidR="00081816" w:rsidRDefault="00081816" w:rsidP="00692C11">
            <w:pPr>
              <w:rPr>
                <w:sz w:val="16"/>
                <w:szCs w:val="16"/>
                <w:lang w:val="en-US"/>
              </w:rPr>
            </w:pPr>
            <w:r>
              <w:rPr>
                <w:sz w:val="16"/>
                <w:szCs w:val="16"/>
                <w:lang w:val="en-US"/>
              </w:rPr>
              <w:t>Training Coord.</w:t>
            </w:r>
          </w:p>
          <w:p w:rsidR="00851E88" w:rsidRDefault="00081816" w:rsidP="00692C11">
            <w:pPr>
              <w:rPr>
                <w:sz w:val="16"/>
                <w:szCs w:val="16"/>
                <w:lang w:val="en-US"/>
              </w:rPr>
            </w:pPr>
            <w:r>
              <w:rPr>
                <w:sz w:val="16"/>
                <w:szCs w:val="16"/>
                <w:lang w:val="en-US"/>
              </w:rPr>
              <w:t>Training Coord.</w:t>
            </w:r>
          </w:p>
          <w:p w:rsidR="00AB40C6" w:rsidRDefault="00081816" w:rsidP="00692C11">
            <w:pPr>
              <w:rPr>
                <w:sz w:val="16"/>
                <w:szCs w:val="16"/>
                <w:lang w:val="en-US"/>
              </w:rPr>
            </w:pPr>
            <w:r>
              <w:rPr>
                <w:sz w:val="16"/>
                <w:szCs w:val="16"/>
                <w:lang w:val="en-US"/>
              </w:rPr>
              <w:t>Training Coord.</w:t>
            </w:r>
          </w:p>
          <w:p w:rsidR="00DE2E8E" w:rsidRPr="00AB40C6" w:rsidRDefault="00DE2E8E" w:rsidP="00692C11">
            <w:pPr>
              <w:rPr>
                <w:sz w:val="16"/>
                <w:szCs w:val="16"/>
                <w:lang w:val="en-US"/>
              </w:rPr>
            </w:pPr>
            <w:r>
              <w:rPr>
                <w:sz w:val="16"/>
                <w:szCs w:val="16"/>
                <w:lang w:val="en-US"/>
              </w:rPr>
              <w:t>Network Mgr. + ASD</w:t>
            </w:r>
          </w:p>
        </w:tc>
      </w:tr>
      <w:tr w:rsidR="00AB40C6" w:rsidRPr="00DE2E8E">
        <w:tc>
          <w:tcPr>
            <w:tcW w:w="1384" w:type="dxa"/>
          </w:tcPr>
          <w:p w:rsidR="00AB40C6" w:rsidRPr="00AB40C6" w:rsidRDefault="00AB40C6" w:rsidP="00780BDD">
            <w:pPr>
              <w:rPr>
                <w:sz w:val="16"/>
                <w:szCs w:val="16"/>
                <w:lang w:val="en-US"/>
              </w:rPr>
            </w:pPr>
            <w:r>
              <w:rPr>
                <w:sz w:val="16"/>
                <w:szCs w:val="16"/>
                <w:lang w:val="en-US"/>
              </w:rPr>
              <w:t>Impact on Networking and Partnerships</w:t>
            </w:r>
          </w:p>
        </w:tc>
        <w:tc>
          <w:tcPr>
            <w:tcW w:w="2693" w:type="dxa"/>
          </w:tcPr>
          <w:p w:rsidR="00AB40C6" w:rsidRDefault="00780BDD" w:rsidP="00692C11">
            <w:pPr>
              <w:rPr>
                <w:sz w:val="16"/>
                <w:szCs w:val="16"/>
                <w:lang w:val="en-US"/>
              </w:rPr>
            </w:pPr>
            <w:r>
              <w:rPr>
                <w:sz w:val="16"/>
                <w:szCs w:val="16"/>
                <w:lang w:val="en-US"/>
              </w:rPr>
              <w:t>Partnerships via Partnership Program</w:t>
            </w:r>
          </w:p>
          <w:p w:rsidR="00780BDD" w:rsidRDefault="00780BDD" w:rsidP="00692C11">
            <w:pPr>
              <w:rPr>
                <w:sz w:val="16"/>
                <w:szCs w:val="16"/>
                <w:lang w:val="en-US"/>
              </w:rPr>
            </w:pPr>
            <w:r>
              <w:rPr>
                <w:sz w:val="16"/>
                <w:szCs w:val="16"/>
                <w:lang w:val="en-US"/>
              </w:rPr>
              <w:t xml:space="preserve">New </w:t>
            </w:r>
            <w:r w:rsidR="00081816">
              <w:rPr>
                <w:sz w:val="16"/>
                <w:szCs w:val="16"/>
                <w:lang w:val="en-US"/>
              </w:rPr>
              <w:t>national coordination</w:t>
            </w:r>
          </w:p>
          <w:p w:rsidR="00E67FE5" w:rsidRDefault="00E67FE5" w:rsidP="00692C11">
            <w:pPr>
              <w:rPr>
                <w:sz w:val="16"/>
                <w:szCs w:val="16"/>
                <w:lang w:val="en-US"/>
              </w:rPr>
            </w:pPr>
          </w:p>
          <w:p w:rsidR="00E67FE5" w:rsidRPr="00AB40C6" w:rsidRDefault="00E67FE5" w:rsidP="00692C11">
            <w:pPr>
              <w:rPr>
                <w:sz w:val="16"/>
                <w:szCs w:val="16"/>
                <w:lang w:val="en-US"/>
              </w:rPr>
            </w:pPr>
            <w:r>
              <w:rPr>
                <w:sz w:val="16"/>
                <w:szCs w:val="16"/>
                <w:lang w:val="en-US"/>
              </w:rPr>
              <w:t>International cooperative activities</w:t>
            </w:r>
          </w:p>
        </w:tc>
        <w:tc>
          <w:tcPr>
            <w:tcW w:w="2977" w:type="dxa"/>
          </w:tcPr>
          <w:p w:rsidR="00AB40C6" w:rsidRDefault="00780BDD" w:rsidP="00692C11">
            <w:pPr>
              <w:rPr>
                <w:sz w:val="16"/>
                <w:szCs w:val="16"/>
                <w:lang w:val="en-US"/>
              </w:rPr>
            </w:pPr>
            <w:r>
              <w:rPr>
                <w:sz w:val="16"/>
                <w:szCs w:val="16"/>
                <w:lang w:val="en-US"/>
              </w:rPr>
              <w:t>Annual report</w:t>
            </w:r>
            <w:r w:rsidR="00E67FE5">
              <w:rPr>
                <w:sz w:val="16"/>
                <w:szCs w:val="16"/>
                <w:lang w:val="en-US"/>
              </w:rPr>
              <w:t xml:space="preserve"> of</w:t>
            </w:r>
            <w:r>
              <w:rPr>
                <w:sz w:val="16"/>
                <w:szCs w:val="16"/>
                <w:lang w:val="en-US"/>
              </w:rPr>
              <w:t xml:space="preserve"> Partnership Program</w:t>
            </w:r>
          </w:p>
          <w:p w:rsidR="00780BDD" w:rsidRDefault="00780BDD" w:rsidP="00692C11">
            <w:pPr>
              <w:rPr>
                <w:sz w:val="16"/>
                <w:szCs w:val="16"/>
                <w:lang w:val="en-US"/>
              </w:rPr>
            </w:pPr>
            <w:r>
              <w:rPr>
                <w:sz w:val="16"/>
                <w:szCs w:val="16"/>
                <w:lang w:val="en-US"/>
              </w:rPr>
              <w:t>Annual reports of Prediction and Observation Cores</w:t>
            </w:r>
          </w:p>
          <w:p w:rsidR="00E67FE5" w:rsidRPr="00AB40C6" w:rsidRDefault="00E67FE5" w:rsidP="00692C11">
            <w:pPr>
              <w:rPr>
                <w:sz w:val="16"/>
                <w:szCs w:val="16"/>
                <w:lang w:val="en-US"/>
              </w:rPr>
            </w:pPr>
            <w:r>
              <w:rPr>
                <w:sz w:val="16"/>
                <w:szCs w:val="16"/>
                <w:lang w:val="en-US"/>
              </w:rPr>
              <w:t>Annual reports</w:t>
            </w:r>
          </w:p>
        </w:tc>
        <w:tc>
          <w:tcPr>
            <w:tcW w:w="2268" w:type="dxa"/>
          </w:tcPr>
          <w:p w:rsidR="00AB40C6" w:rsidRDefault="00851E88" w:rsidP="00692C11">
            <w:pPr>
              <w:rPr>
                <w:sz w:val="16"/>
                <w:szCs w:val="16"/>
                <w:lang w:val="en-US"/>
              </w:rPr>
            </w:pPr>
            <w:r>
              <w:rPr>
                <w:sz w:val="16"/>
                <w:szCs w:val="16"/>
                <w:lang w:val="en-US"/>
              </w:rPr>
              <w:t>Network Mg</w:t>
            </w:r>
            <w:r w:rsidR="00780BDD">
              <w:rPr>
                <w:sz w:val="16"/>
                <w:szCs w:val="16"/>
                <w:lang w:val="en-US"/>
              </w:rPr>
              <w:t>r + ASD</w:t>
            </w:r>
          </w:p>
          <w:p w:rsidR="00780BDD" w:rsidRDefault="00851E88" w:rsidP="00692C11">
            <w:pPr>
              <w:rPr>
                <w:sz w:val="16"/>
                <w:szCs w:val="16"/>
                <w:lang w:val="en-US"/>
              </w:rPr>
            </w:pPr>
            <w:r>
              <w:rPr>
                <w:sz w:val="16"/>
                <w:szCs w:val="16"/>
                <w:lang w:val="en-US"/>
              </w:rPr>
              <w:t>Core Lead</w:t>
            </w:r>
            <w:r w:rsidR="00780BDD">
              <w:rPr>
                <w:sz w:val="16"/>
                <w:szCs w:val="16"/>
                <w:lang w:val="en-US"/>
              </w:rPr>
              <w:t>s</w:t>
            </w:r>
          </w:p>
          <w:p w:rsidR="00E67FE5" w:rsidRDefault="00E67FE5" w:rsidP="00692C11">
            <w:pPr>
              <w:rPr>
                <w:sz w:val="16"/>
                <w:szCs w:val="16"/>
                <w:lang w:val="en-US"/>
              </w:rPr>
            </w:pPr>
          </w:p>
          <w:p w:rsidR="00E67FE5" w:rsidRPr="00AB40C6" w:rsidRDefault="00220B83" w:rsidP="00692C11">
            <w:pPr>
              <w:rPr>
                <w:sz w:val="16"/>
                <w:szCs w:val="16"/>
                <w:lang w:val="en-US"/>
              </w:rPr>
            </w:pPr>
            <w:r>
              <w:rPr>
                <w:sz w:val="16"/>
                <w:szCs w:val="16"/>
                <w:lang w:val="en-US"/>
              </w:rPr>
              <w:t>Project/</w:t>
            </w:r>
            <w:r w:rsidR="00081816">
              <w:rPr>
                <w:sz w:val="16"/>
                <w:szCs w:val="16"/>
                <w:lang w:val="en-US"/>
              </w:rPr>
              <w:t>Core Leads, SD</w:t>
            </w:r>
          </w:p>
        </w:tc>
      </w:tr>
      <w:tr w:rsidR="00AB40C6" w:rsidRPr="00081816">
        <w:tc>
          <w:tcPr>
            <w:tcW w:w="1384" w:type="dxa"/>
          </w:tcPr>
          <w:p w:rsidR="00AB40C6" w:rsidRPr="00AB40C6" w:rsidRDefault="00780BDD" w:rsidP="00692C11">
            <w:pPr>
              <w:rPr>
                <w:sz w:val="16"/>
                <w:szCs w:val="16"/>
                <w:lang w:val="en-US"/>
              </w:rPr>
            </w:pPr>
            <w:r>
              <w:rPr>
                <w:sz w:val="16"/>
                <w:szCs w:val="16"/>
                <w:lang w:val="en-US"/>
              </w:rPr>
              <w:t>Impact on knowledge mobilization</w:t>
            </w:r>
          </w:p>
        </w:tc>
        <w:tc>
          <w:tcPr>
            <w:tcW w:w="2693" w:type="dxa"/>
          </w:tcPr>
          <w:p w:rsidR="009A6506" w:rsidRDefault="009A6506" w:rsidP="00692C11">
            <w:pPr>
              <w:rPr>
                <w:sz w:val="16"/>
                <w:szCs w:val="16"/>
                <w:lang w:val="en-US"/>
              </w:rPr>
            </w:pPr>
            <w:r>
              <w:rPr>
                <w:sz w:val="16"/>
                <w:szCs w:val="16"/>
                <w:lang w:val="en-US"/>
              </w:rPr>
              <w:t>Patents, commercialization</w:t>
            </w:r>
            <w:r w:rsidR="00DE2E8E">
              <w:rPr>
                <w:sz w:val="16"/>
                <w:szCs w:val="16"/>
                <w:lang w:val="en-US"/>
              </w:rPr>
              <w:t>, t</w:t>
            </w:r>
            <w:r>
              <w:rPr>
                <w:sz w:val="16"/>
                <w:szCs w:val="16"/>
                <w:lang w:val="en-US"/>
              </w:rPr>
              <w:t>ransfer to operational use</w:t>
            </w:r>
          </w:p>
          <w:p w:rsidR="009A6506" w:rsidRDefault="009A6506" w:rsidP="00692C11">
            <w:pPr>
              <w:rPr>
                <w:sz w:val="16"/>
                <w:szCs w:val="16"/>
                <w:lang w:val="en-US"/>
              </w:rPr>
            </w:pPr>
            <w:r>
              <w:rPr>
                <w:sz w:val="16"/>
                <w:szCs w:val="16"/>
                <w:lang w:val="en-US"/>
              </w:rPr>
              <w:t>Outreach events and materials</w:t>
            </w:r>
          </w:p>
          <w:p w:rsidR="009A6506" w:rsidRDefault="009A6506" w:rsidP="00692C11">
            <w:pPr>
              <w:rPr>
                <w:sz w:val="16"/>
                <w:szCs w:val="16"/>
                <w:lang w:val="en-US"/>
              </w:rPr>
            </w:pPr>
          </w:p>
          <w:p w:rsidR="009A6506" w:rsidRDefault="009A6506" w:rsidP="00692C11">
            <w:pPr>
              <w:rPr>
                <w:sz w:val="16"/>
                <w:szCs w:val="16"/>
                <w:lang w:val="en-US"/>
              </w:rPr>
            </w:pPr>
            <w:r>
              <w:rPr>
                <w:sz w:val="16"/>
                <w:szCs w:val="16"/>
                <w:lang w:val="en-US"/>
              </w:rPr>
              <w:t>Press coverage (categorized)</w:t>
            </w:r>
          </w:p>
          <w:p w:rsidR="009A6506" w:rsidRDefault="009A6506" w:rsidP="00692C11">
            <w:pPr>
              <w:rPr>
                <w:sz w:val="16"/>
                <w:szCs w:val="16"/>
                <w:lang w:val="en-US"/>
              </w:rPr>
            </w:pPr>
            <w:r>
              <w:rPr>
                <w:sz w:val="16"/>
                <w:szCs w:val="16"/>
                <w:lang w:val="en-US"/>
              </w:rPr>
              <w:t>Impact on policy and planning</w:t>
            </w:r>
          </w:p>
          <w:p w:rsidR="009A6506" w:rsidRDefault="009A6506" w:rsidP="00692C11">
            <w:pPr>
              <w:rPr>
                <w:sz w:val="16"/>
                <w:szCs w:val="16"/>
                <w:lang w:val="en-US"/>
              </w:rPr>
            </w:pPr>
          </w:p>
          <w:p w:rsidR="009A6506" w:rsidRPr="00AB40C6" w:rsidRDefault="009A6506" w:rsidP="00692C11">
            <w:pPr>
              <w:rPr>
                <w:sz w:val="16"/>
                <w:szCs w:val="16"/>
                <w:lang w:val="en-US"/>
              </w:rPr>
            </w:pPr>
            <w:r>
              <w:rPr>
                <w:sz w:val="16"/>
                <w:szCs w:val="16"/>
                <w:lang w:val="en-US"/>
              </w:rPr>
              <w:t>Impact on user/stakeholder attitudes and awareness</w:t>
            </w:r>
          </w:p>
        </w:tc>
        <w:tc>
          <w:tcPr>
            <w:tcW w:w="2977" w:type="dxa"/>
          </w:tcPr>
          <w:p w:rsidR="00DE2E8E" w:rsidRDefault="00DE2E8E" w:rsidP="00692C11">
            <w:pPr>
              <w:rPr>
                <w:sz w:val="16"/>
                <w:szCs w:val="16"/>
                <w:lang w:val="en-US"/>
              </w:rPr>
            </w:pPr>
            <w:r>
              <w:rPr>
                <w:sz w:val="16"/>
                <w:szCs w:val="16"/>
                <w:lang w:val="en-US"/>
              </w:rPr>
              <w:t>Annual reports of Projects and</w:t>
            </w:r>
            <w:r w:rsidR="009A6506">
              <w:rPr>
                <w:sz w:val="16"/>
                <w:szCs w:val="16"/>
                <w:lang w:val="en-US"/>
              </w:rPr>
              <w:t xml:space="preserve"> Cores </w:t>
            </w:r>
          </w:p>
          <w:p w:rsidR="00DE2E8E" w:rsidRDefault="00DE2E8E" w:rsidP="00692C11">
            <w:pPr>
              <w:rPr>
                <w:sz w:val="16"/>
                <w:szCs w:val="16"/>
                <w:lang w:val="en-US"/>
              </w:rPr>
            </w:pPr>
          </w:p>
          <w:p w:rsidR="009A6506" w:rsidRDefault="009A6506" w:rsidP="00692C11">
            <w:pPr>
              <w:rPr>
                <w:sz w:val="16"/>
                <w:szCs w:val="16"/>
                <w:lang w:val="en-US"/>
              </w:rPr>
            </w:pPr>
            <w:r>
              <w:rPr>
                <w:sz w:val="16"/>
                <w:szCs w:val="16"/>
                <w:lang w:val="en-US"/>
              </w:rPr>
              <w:t>Report on events, conferences, web-page, social media, publications</w:t>
            </w:r>
          </w:p>
          <w:p w:rsidR="009A6506" w:rsidRDefault="009A6506" w:rsidP="00692C11">
            <w:pPr>
              <w:rPr>
                <w:sz w:val="16"/>
                <w:szCs w:val="16"/>
                <w:lang w:val="en-US"/>
              </w:rPr>
            </w:pPr>
            <w:r>
              <w:rPr>
                <w:sz w:val="16"/>
                <w:szCs w:val="16"/>
                <w:lang w:val="en-US"/>
              </w:rPr>
              <w:t>Media archive</w:t>
            </w:r>
          </w:p>
          <w:p w:rsidR="009A6506" w:rsidRDefault="009A6506" w:rsidP="00692C11">
            <w:pPr>
              <w:rPr>
                <w:sz w:val="16"/>
                <w:szCs w:val="16"/>
                <w:lang w:val="en-US"/>
              </w:rPr>
            </w:pPr>
            <w:r>
              <w:rPr>
                <w:sz w:val="16"/>
                <w:szCs w:val="16"/>
                <w:lang w:val="en-US"/>
              </w:rPr>
              <w:t>Annual reports; surveys following outreach events</w:t>
            </w:r>
          </w:p>
          <w:p w:rsidR="00851E88" w:rsidRPr="00AB40C6" w:rsidRDefault="00A11297" w:rsidP="00081816">
            <w:pPr>
              <w:rPr>
                <w:sz w:val="16"/>
                <w:szCs w:val="16"/>
                <w:lang w:val="en-US"/>
              </w:rPr>
            </w:pPr>
            <w:r>
              <w:rPr>
                <w:sz w:val="16"/>
                <w:szCs w:val="16"/>
                <w:lang w:val="en-US"/>
              </w:rPr>
              <w:t>S</w:t>
            </w:r>
            <w:r w:rsidR="009A6506">
              <w:rPr>
                <w:sz w:val="16"/>
                <w:szCs w:val="16"/>
                <w:lang w:val="en-US"/>
              </w:rPr>
              <w:t>urveys</w:t>
            </w:r>
            <w:r w:rsidR="00081816">
              <w:rPr>
                <w:sz w:val="16"/>
                <w:szCs w:val="16"/>
                <w:lang w:val="en-US"/>
              </w:rPr>
              <w:t>, workshops</w:t>
            </w:r>
            <w:r w:rsidR="009A6506">
              <w:rPr>
                <w:sz w:val="16"/>
                <w:szCs w:val="16"/>
                <w:lang w:val="en-US"/>
              </w:rPr>
              <w:t xml:space="preserve"> summarized in Project/Core reports</w:t>
            </w:r>
            <w:r w:rsidR="00081816">
              <w:rPr>
                <w:sz w:val="16"/>
                <w:szCs w:val="16"/>
                <w:lang w:val="en-US"/>
              </w:rPr>
              <w:t xml:space="preserve">; </w:t>
            </w:r>
            <w:r w:rsidR="00851E88">
              <w:rPr>
                <w:sz w:val="16"/>
                <w:szCs w:val="16"/>
                <w:lang w:val="en-US"/>
              </w:rPr>
              <w:t>Independent review</w:t>
            </w:r>
          </w:p>
        </w:tc>
        <w:tc>
          <w:tcPr>
            <w:tcW w:w="2268" w:type="dxa"/>
          </w:tcPr>
          <w:p w:rsidR="00AB40C6" w:rsidRDefault="00220B83" w:rsidP="00692C11">
            <w:pPr>
              <w:rPr>
                <w:sz w:val="16"/>
                <w:szCs w:val="16"/>
                <w:lang w:val="en-US"/>
              </w:rPr>
            </w:pPr>
            <w:r>
              <w:rPr>
                <w:sz w:val="16"/>
                <w:szCs w:val="16"/>
                <w:lang w:val="en-US"/>
              </w:rPr>
              <w:t>Project/</w:t>
            </w:r>
            <w:r w:rsidR="00DE2E8E">
              <w:rPr>
                <w:sz w:val="16"/>
                <w:szCs w:val="16"/>
                <w:lang w:val="en-US"/>
              </w:rPr>
              <w:t xml:space="preserve">Core </w:t>
            </w:r>
            <w:r w:rsidR="00851E88">
              <w:rPr>
                <w:sz w:val="16"/>
                <w:szCs w:val="16"/>
                <w:lang w:val="en-US"/>
              </w:rPr>
              <w:t>Lead</w:t>
            </w:r>
            <w:r w:rsidR="00DE2E8E">
              <w:rPr>
                <w:sz w:val="16"/>
                <w:szCs w:val="16"/>
                <w:lang w:val="en-US"/>
              </w:rPr>
              <w:t xml:space="preserve">s, </w:t>
            </w:r>
            <w:r w:rsidR="00851E88">
              <w:rPr>
                <w:sz w:val="16"/>
                <w:szCs w:val="16"/>
                <w:lang w:val="en-US"/>
              </w:rPr>
              <w:t>Network Mg</w:t>
            </w:r>
            <w:r w:rsidR="00DE2E8E">
              <w:rPr>
                <w:sz w:val="16"/>
                <w:szCs w:val="16"/>
                <w:lang w:val="en-US"/>
              </w:rPr>
              <w:t>r</w:t>
            </w:r>
          </w:p>
          <w:p w:rsidR="009A6506" w:rsidRDefault="00851E88" w:rsidP="00692C11">
            <w:pPr>
              <w:rPr>
                <w:sz w:val="16"/>
                <w:szCs w:val="16"/>
                <w:lang w:val="en-US"/>
              </w:rPr>
            </w:pPr>
            <w:r>
              <w:rPr>
                <w:sz w:val="16"/>
                <w:szCs w:val="16"/>
                <w:lang w:val="en-US"/>
              </w:rPr>
              <w:t>Comms. Coord.</w:t>
            </w:r>
          </w:p>
          <w:p w:rsidR="009A6506" w:rsidRDefault="009A6506" w:rsidP="00692C11">
            <w:pPr>
              <w:rPr>
                <w:sz w:val="16"/>
                <w:szCs w:val="16"/>
                <w:lang w:val="en-US"/>
              </w:rPr>
            </w:pPr>
          </w:p>
          <w:p w:rsidR="009A6506" w:rsidRDefault="00851E88" w:rsidP="00692C11">
            <w:pPr>
              <w:rPr>
                <w:sz w:val="16"/>
                <w:szCs w:val="16"/>
                <w:lang w:val="en-US"/>
              </w:rPr>
            </w:pPr>
            <w:r>
              <w:rPr>
                <w:sz w:val="16"/>
                <w:szCs w:val="16"/>
                <w:lang w:val="en-US"/>
              </w:rPr>
              <w:t>Comms. Coord.</w:t>
            </w:r>
          </w:p>
          <w:p w:rsidR="009A6506" w:rsidRDefault="00851E88" w:rsidP="00692C11">
            <w:pPr>
              <w:rPr>
                <w:sz w:val="16"/>
                <w:szCs w:val="16"/>
                <w:lang w:val="en-US"/>
              </w:rPr>
            </w:pPr>
            <w:r>
              <w:rPr>
                <w:sz w:val="16"/>
                <w:szCs w:val="16"/>
                <w:lang w:val="en-US"/>
              </w:rPr>
              <w:t>Project</w:t>
            </w:r>
            <w:r w:rsidR="00220B83">
              <w:rPr>
                <w:sz w:val="16"/>
                <w:szCs w:val="16"/>
                <w:lang w:val="en-US"/>
              </w:rPr>
              <w:t>/</w:t>
            </w:r>
            <w:r w:rsidR="00081816">
              <w:rPr>
                <w:sz w:val="16"/>
                <w:szCs w:val="16"/>
                <w:lang w:val="en-US"/>
              </w:rPr>
              <w:t>Core</w:t>
            </w:r>
            <w:r>
              <w:rPr>
                <w:sz w:val="16"/>
                <w:szCs w:val="16"/>
                <w:lang w:val="en-US"/>
              </w:rPr>
              <w:t xml:space="preserve"> Lead</w:t>
            </w:r>
            <w:r w:rsidR="009A6506">
              <w:rPr>
                <w:sz w:val="16"/>
                <w:szCs w:val="16"/>
                <w:lang w:val="en-US"/>
              </w:rPr>
              <w:t>s</w:t>
            </w:r>
            <w:r>
              <w:rPr>
                <w:sz w:val="16"/>
                <w:szCs w:val="16"/>
                <w:lang w:val="en-US"/>
              </w:rPr>
              <w:t>, Network Mg</w:t>
            </w:r>
            <w:r w:rsidR="009A6506">
              <w:rPr>
                <w:sz w:val="16"/>
                <w:szCs w:val="16"/>
                <w:lang w:val="en-US"/>
              </w:rPr>
              <w:t>r</w:t>
            </w:r>
            <w:r w:rsidR="00081816">
              <w:rPr>
                <w:sz w:val="16"/>
                <w:szCs w:val="16"/>
                <w:lang w:val="en-US"/>
              </w:rPr>
              <w:t>., SD</w:t>
            </w:r>
          </w:p>
          <w:p w:rsidR="00A11297" w:rsidRPr="00AB40C6" w:rsidRDefault="00220B83" w:rsidP="00220B83">
            <w:pPr>
              <w:rPr>
                <w:sz w:val="16"/>
                <w:szCs w:val="16"/>
                <w:lang w:val="en-US"/>
              </w:rPr>
            </w:pPr>
            <w:r>
              <w:rPr>
                <w:sz w:val="16"/>
                <w:szCs w:val="16"/>
                <w:lang w:val="en-US"/>
              </w:rPr>
              <w:t>Project/</w:t>
            </w:r>
            <w:r w:rsidR="009A6506">
              <w:rPr>
                <w:sz w:val="16"/>
                <w:szCs w:val="16"/>
                <w:lang w:val="en-US"/>
              </w:rPr>
              <w:t xml:space="preserve">Core </w:t>
            </w:r>
            <w:r w:rsidR="00851E88">
              <w:rPr>
                <w:sz w:val="16"/>
                <w:szCs w:val="16"/>
                <w:lang w:val="en-US"/>
              </w:rPr>
              <w:t>Lead</w:t>
            </w:r>
            <w:r w:rsidR="009A6506">
              <w:rPr>
                <w:sz w:val="16"/>
                <w:szCs w:val="16"/>
                <w:lang w:val="en-US"/>
              </w:rPr>
              <w:t>s</w:t>
            </w:r>
            <w:r>
              <w:rPr>
                <w:sz w:val="16"/>
                <w:szCs w:val="16"/>
                <w:lang w:val="en-US"/>
              </w:rPr>
              <w:t xml:space="preserve">, </w:t>
            </w:r>
            <w:r w:rsidR="00081816">
              <w:rPr>
                <w:sz w:val="16"/>
                <w:szCs w:val="16"/>
                <w:lang w:val="en-US"/>
              </w:rPr>
              <w:t xml:space="preserve">Network Mgr., </w:t>
            </w:r>
            <w:r w:rsidR="00A11297">
              <w:rPr>
                <w:sz w:val="16"/>
                <w:szCs w:val="16"/>
                <w:lang w:val="en-US"/>
              </w:rPr>
              <w:t>ASD</w:t>
            </w:r>
          </w:p>
        </w:tc>
      </w:tr>
      <w:tr w:rsidR="00AB40C6" w:rsidRPr="008930BF">
        <w:tc>
          <w:tcPr>
            <w:tcW w:w="1384" w:type="dxa"/>
          </w:tcPr>
          <w:p w:rsidR="00AB40C6" w:rsidRPr="00AB40C6" w:rsidRDefault="00780BDD" w:rsidP="00692C11">
            <w:pPr>
              <w:rPr>
                <w:sz w:val="16"/>
                <w:szCs w:val="16"/>
                <w:lang w:val="en-US"/>
              </w:rPr>
            </w:pPr>
            <w:r>
              <w:rPr>
                <w:sz w:val="16"/>
                <w:szCs w:val="16"/>
                <w:lang w:val="en-US"/>
              </w:rPr>
              <w:t>User and Stakeholder Involvement</w:t>
            </w:r>
          </w:p>
        </w:tc>
        <w:tc>
          <w:tcPr>
            <w:tcW w:w="2693" w:type="dxa"/>
          </w:tcPr>
          <w:p w:rsidR="00A11297" w:rsidRDefault="004D160F" w:rsidP="00692C11">
            <w:pPr>
              <w:rPr>
                <w:sz w:val="16"/>
                <w:szCs w:val="16"/>
                <w:lang w:val="en-US"/>
              </w:rPr>
            </w:pPr>
            <w:r>
              <w:rPr>
                <w:sz w:val="16"/>
                <w:szCs w:val="16"/>
                <w:lang w:val="en-US"/>
              </w:rPr>
              <w:t>Participation in project formulation, planning</w:t>
            </w:r>
          </w:p>
          <w:p w:rsidR="004D160F" w:rsidRDefault="004D160F" w:rsidP="004D160F">
            <w:pPr>
              <w:rPr>
                <w:sz w:val="16"/>
                <w:szCs w:val="16"/>
                <w:lang w:val="en-US"/>
              </w:rPr>
            </w:pPr>
            <w:r>
              <w:rPr>
                <w:sz w:val="16"/>
                <w:szCs w:val="16"/>
                <w:lang w:val="en-US"/>
              </w:rPr>
              <w:t>Cash and in-kind support</w:t>
            </w:r>
            <w:r w:rsidR="00081816">
              <w:rPr>
                <w:sz w:val="16"/>
                <w:szCs w:val="16"/>
                <w:lang w:val="en-US"/>
              </w:rPr>
              <w:t>; p</w:t>
            </w:r>
            <w:r>
              <w:rPr>
                <w:sz w:val="16"/>
                <w:szCs w:val="16"/>
                <w:lang w:val="en-US"/>
              </w:rPr>
              <w:t xml:space="preserve">articipation at Network/Project events </w:t>
            </w:r>
          </w:p>
          <w:p w:rsidR="00A11297" w:rsidRPr="00AB40C6" w:rsidRDefault="00736AC3" w:rsidP="00692C11">
            <w:pPr>
              <w:rPr>
                <w:sz w:val="16"/>
                <w:szCs w:val="16"/>
                <w:lang w:val="en-US"/>
              </w:rPr>
            </w:pPr>
            <w:r>
              <w:rPr>
                <w:sz w:val="16"/>
                <w:szCs w:val="16"/>
                <w:lang w:val="en-US"/>
              </w:rPr>
              <w:t>Partner interest and satisfaction</w:t>
            </w:r>
          </w:p>
        </w:tc>
        <w:tc>
          <w:tcPr>
            <w:tcW w:w="2977" w:type="dxa"/>
          </w:tcPr>
          <w:p w:rsidR="00AB40C6" w:rsidRDefault="00220B83" w:rsidP="00692C11">
            <w:pPr>
              <w:rPr>
                <w:sz w:val="16"/>
                <w:szCs w:val="16"/>
                <w:lang w:val="en-US"/>
              </w:rPr>
            </w:pPr>
            <w:r>
              <w:rPr>
                <w:sz w:val="16"/>
                <w:szCs w:val="16"/>
                <w:lang w:val="en-US"/>
              </w:rPr>
              <w:t>C</w:t>
            </w:r>
            <w:r w:rsidR="00A11297">
              <w:rPr>
                <w:sz w:val="16"/>
                <w:szCs w:val="16"/>
                <w:lang w:val="en-US"/>
              </w:rPr>
              <w:t>riteri</w:t>
            </w:r>
            <w:r w:rsidR="00736AC3">
              <w:rPr>
                <w:sz w:val="16"/>
                <w:szCs w:val="16"/>
                <w:lang w:val="en-US"/>
              </w:rPr>
              <w:t xml:space="preserve">on for </w:t>
            </w:r>
            <w:r w:rsidR="00A11297">
              <w:rPr>
                <w:sz w:val="16"/>
                <w:szCs w:val="16"/>
                <w:lang w:val="en-US"/>
              </w:rPr>
              <w:t>proposal evaluation</w:t>
            </w:r>
          </w:p>
          <w:p w:rsidR="00A11297" w:rsidRDefault="00A11297" w:rsidP="00692C11">
            <w:pPr>
              <w:rPr>
                <w:sz w:val="16"/>
                <w:szCs w:val="16"/>
                <w:lang w:val="en-US"/>
              </w:rPr>
            </w:pPr>
          </w:p>
          <w:p w:rsidR="00A11297" w:rsidRDefault="00A11297" w:rsidP="00692C11">
            <w:pPr>
              <w:rPr>
                <w:sz w:val="16"/>
                <w:szCs w:val="16"/>
                <w:lang w:val="en-US"/>
              </w:rPr>
            </w:pPr>
            <w:r>
              <w:rPr>
                <w:sz w:val="16"/>
                <w:szCs w:val="16"/>
                <w:lang w:val="en-US"/>
              </w:rPr>
              <w:t>Annual reports from projects / cores</w:t>
            </w:r>
          </w:p>
          <w:p w:rsidR="00736AC3" w:rsidRDefault="00736AC3" w:rsidP="00692C11">
            <w:pPr>
              <w:rPr>
                <w:sz w:val="16"/>
                <w:szCs w:val="16"/>
                <w:lang w:val="en-US"/>
              </w:rPr>
            </w:pPr>
          </w:p>
          <w:p w:rsidR="00736AC3" w:rsidRDefault="00736AC3" w:rsidP="00692C11">
            <w:pPr>
              <w:rPr>
                <w:sz w:val="16"/>
                <w:szCs w:val="16"/>
                <w:lang w:val="en-US"/>
              </w:rPr>
            </w:pPr>
          </w:p>
          <w:p w:rsidR="00A11297" w:rsidRPr="00AB40C6" w:rsidRDefault="00A11297" w:rsidP="00692C11">
            <w:pPr>
              <w:rPr>
                <w:sz w:val="16"/>
                <w:szCs w:val="16"/>
                <w:lang w:val="en-US"/>
              </w:rPr>
            </w:pPr>
            <w:r>
              <w:rPr>
                <w:sz w:val="16"/>
                <w:szCs w:val="16"/>
                <w:lang w:val="en-US"/>
              </w:rPr>
              <w:t>Annual Surveys</w:t>
            </w:r>
          </w:p>
        </w:tc>
        <w:tc>
          <w:tcPr>
            <w:tcW w:w="2268" w:type="dxa"/>
          </w:tcPr>
          <w:p w:rsidR="00AB40C6" w:rsidRDefault="00A11297" w:rsidP="00692C11">
            <w:pPr>
              <w:rPr>
                <w:sz w:val="16"/>
                <w:szCs w:val="16"/>
                <w:lang w:val="en-US"/>
              </w:rPr>
            </w:pPr>
            <w:r>
              <w:rPr>
                <w:sz w:val="16"/>
                <w:szCs w:val="16"/>
                <w:lang w:val="en-US"/>
              </w:rPr>
              <w:t>RMC</w:t>
            </w:r>
            <w:r w:rsidR="00220B83">
              <w:rPr>
                <w:sz w:val="16"/>
                <w:szCs w:val="16"/>
                <w:lang w:val="en-US"/>
              </w:rPr>
              <w:t>, Board</w:t>
            </w:r>
          </w:p>
          <w:p w:rsidR="00A11297" w:rsidRDefault="00A11297" w:rsidP="00692C11">
            <w:pPr>
              <w:rPr>
                <w:sz w:val="16"/>
                <w:szCs w:val="16"/>
                <w:lang w:val="en-US"/>
              </w:rPr>
            </w:pPr>
          </w:p>
          <w:p w:rsidR="00A11297" w:rsidRDefault="00A11297" w:rsidP="00692C11">
            <w:pPr>
              <w:rPr>
                <w:sz w:val="16"/>
                <w:szCs w:val="16"/>
                <w:lang w:val="en-US"/>
              </w:rPr>
            </w:pPr>
            <w:r>
              <w:rPr>
                <w:sz w:val="16"/>
                <w:szCs w:val="16"/>
                <w:lang w:val="en-US"/>
              </w:rPr>
              <w:t>Project / Core Leads</w:t>
            </w:r>
          </w:p>
          <w:p w:rsidR="00736AC3" w:rsidRDefault="00736AC3" w:rsidP="00692C11">
            <w:pPr>
              <w:rPr>
                <w:sz w:val="16"/>
                <w:szCs w:val="16"/>
                <w:lang w:val="en-US"/>
              </w:rPr>
            </w:pPr>
          </w:p>
          <w:p w:rsidR="00736AC3" w:rsidRDefault="00736AC3" w:rsidP="00692C11">
            <w:pPr>
              <w:rPr>
                <w:sz w:val="16"/>
                <w:szCs w:val="16"/>
                <w:lang w:val="en-US"/>
              </w:rPr>
            </w:pPr>
          </w:p>
          <w:p w:rsidR="00736AC3" w:rsidRPr="00AB40C6" w:rsidRDefault="00736AC3" w:rsidP="00692C11">
            <w:pPr>
              <w:rPr>
                <w:sz w:val="16"/>
                <w:szCs w:val="16"/>
                <w:lang w:val="en-US"/>
              </w:rPr>
            </w:pPr>
            <w:r>
              <w:rPr>
                <w:sz w:val="16"/>
                <w:szCs w:val="16"/>
                <w:lang w:val="en-US"/>
              </w:rPr>
              <w:t>Network Mgr</w:t>
            </w:r>
            <w:r w:rsidR="00220B83">
              <w:rPr>
                <w:sz w:val="16"/>
                <w:szCs w:val="16"/>
                <w:lang w:val="en-US"/>
              </w:rPr>
              <w:t>.</w:t>
            </w:r>
          </w:p>
        </w:tc>
      </w:tr>
      <w:tr w:rsidR="00AB40C6" w:rsidRPr="008930BF">
        <w:tc>
          <w:tcPr>
            <w:tcW w:w="1384" w:type="dxa"/>
          </w:tcPr>
          <w:p w:rsidR="00AB40C6" w:rsidRPr="00AB40C6" w:rsidRDefault="00780BDD" w:rsidP="00692C11">
            <w:pPr>
              <w:rPr>
                <w:sz w:val="16"/>
                <w:szCs w:val="16"/>
                <w:lang w:val="en-US"/>
              </w:rPr>
            </w:pPr>
            <w:r>
              <w:rPr>
                <w:sz w:val="16"/>
                <w:szCs w:val="16"/>
                <w:lang w:val="en-US"/>
              </w:rPr>
              <w:t>Effectiveness and efficiency of program management</w:t>
            </w:r>
          </w:p>
        </w:tc>
        <w:tc>
          <w:tcPr>
            <w:tcW w:w="2693" w:type="dxa"/>
          </w:tcPr>
          <w:p w:rsidR="00AB40C6" w:rsidRDefault="004D160F" w:rsidP="00692C11">
            <w:pPr>
              <w:rPr>
                <w:sz w:val="16"/>
                <w:szCs w:val="16"/>
                <w:lang w:val="en-US"/>
              </w:rPr>
            </w:pPr>
            <w:r>
              <w:rPr>
                <w:sz w:val="16"/>
                <w:szCs w:val="16"/>
                <w:lang w:val="en-US"/>
              </w:rPr>
              <w:t>Adherence to NCE requirements</w:t>
            </w:r>
          </w:p>
          <w:p w:rsidR="004D160F" w:rsidRDefault="004D160F" w:rsidP="00692C11">
            <w:pPr>
              <w:rPr>
                <w:sz w:val="16"/>
                <w:szCs w:val="16"/>
                <w:lang w:val="en-US"/>
              </w:rPr>
            </w:pPr>
          </w:p>
          <w:p w:rsidR="00E261FA" w:rsidRDefault="00E261FA" w:rsidP="00692C11">
            <w:pPr>
              <w:rPr>
                <w:sz w:val="16"/>
                <w:szCs w:val="16"/>
                <w:lang w:val="en-US"/>
              </w:rPr>
            </w:pPr>
            <w:r>
              <w:rPr>
                <w:sz w:val="16"/>
                <w:szCs w:val="16"/>
                <w:lang w:val="en-US"/>
              </w:rPr>
              <w:t>Admin. centre review</w:t>
            </w:r>
          </w:p>
          <w:p w:rsidR="00E261FA" w:rsidRDefault="00E261FA" w:rsidP="00692C11">
            <w:pPr>
              <w:rPr>
                <w:sz w:val="16"/>
                <w:szCs w:val="16"/>
                <w:lang w:val="en-US"/>
              </w:rPr>
            </w:pPr>
          </w:p>
          <w:p w:rsidR="00E261FA" w:rsidRDefault="00E261FA" w:rsidP="00692C11">
            <w:pPr>
              <w:rPr>
                <w:sz w:val="16"/>
                <w:szCs w:val="16"/>
                <w:lang w:val="en-US"/>
              </w:rPr>
            </w:pPr>
          </w:p>
          <w:p w:rsidR="004D160F" w:rsidRDefault="004D160F" w:rsidP="00692C11">
            <w:pPr>
              <w:rPr>
                <w:sz w:val="16"/>
                <w:szCs w:val="16"/>
                <w:lang w:val="en-US"/>
              </w:rPr>
            </w:pPr>
            <w:r>
              <w:rPr>
                <w:sz w:val="16"/>
                <w:szCs w:val="16"/>
                <w:lang w:val="en-US"/>
              </w:rPr>
              <w:t>Fee</w:t>
            </w:r>
            <w:r w:rsidR="00E261FA">
              <w:rPr>
                <w:sz w:val="16"/>
                <w:szCs w:val="16"/>
                <w:lang w:val="en-US"/>
              </w:rPr>
              <w:t>dback from Member Insitutions</w:t>
            </w:r>
            <w:r w:rsidR="001226E2">
              <w:rPr>
                <w:sz w:val="16"/>
                <w:szCs w:val="16"/>
                <w:lang w:val="en-US"/>
              </w:rPr>
              <w:t xml:space="preserve"> and Investigators</w:t>
            </w:r>
          </w:p>
          <w:p w:rsidR="00E261FA" w:rsidRPr="00AB40C6" w:rsidRDefault="00E261FA" w:rsidP="00692C11">
            <w:pPr>
              <w:rPr>
                <w:sz w:val="16"/>
                <w:szCs w:val="16"/>
                <w:lang w:val="en-US"/>
              </w:rPr>
            </w:pPr>
          </w:p>
        </w:tc>
        <w:tc>
          <w:tcPr>
            <w:tcW w:w="2977" w:type="dxa"/>
          </w:tcPr>
          <w:p w:rsidR="00AB40C6" w:rsidRDefault="004D160F" w:rsidP="00692C11">
            <w:pPr>
              <w:rPr>
                <w:sz w:val="16"/>
                <w:szCs w:val="16"/>
                <w:lang w:val="en-US"/>
              </w:rPr>
            </w:pPr>
            <w:r>
              <w:rPr>
                <w:sz w:val="16"/>
                <w:szCs w:val="16"/>
                <w:lang w:val="en-US"/>
              </w:rPr>
              <w:t>Annual report and feedback</w:t>
            </w:r>
          </w:p>
          <w:p w:rsidR="00AF2770" w:rsidRDefault="00AF2770" w:rsidP="00692C11">
            <w:pPr>
              <w:rPr>
                <w:sz w:val="16"/>
                <w:szCs w:val="16"/>
                <w:lang w:val="en-US"/>
              </w:rPr>
            </w:pPr>
          </w:p>
          <w:p w:rsidR="00E261FA" w:rsidRDefault="00E261FA" w:rsidP="00692C11">
            <w:pPr>
              <w:rPr>
                <w:sz w:val="16"/>
                <w:szCs w:val="16"/>
                <w:lang w:val="en-US"/>
              </w:rPr>
            </w:pPr>
            <w:r>
              <w:rPr>
                <w:sz w:val="16"/>
                <w:szCs w:val="16"/>
                <w:lang w:val="en-US"/>
              </w:rPr>
              <w:t>Annual site visit</w:t>
            </w:r>
          </w:p>
          <w:p w:rsidR="00E261FA" w:rsidRDefault="00E261FA" w:rsidP="00692C11">
            <w:pPr>
              <w:rPr>
                <w:sz w:val="16"/>
                <w:szCs w:val="16"/>
                <w:lang w:val="en-US"/>
              </w:rPr>
            </w:pPr>
          </w:p>
          <w:p w:rsidR="00E261FA" w:rsidRDefault="00E261FA" w:rsidP="00692C11">
            <w:pPr>
              <w:rPr>
                <w:sz w:val="16"/>
                <w:szCs w:val="16"/>
                <w:lang w:val="en-US"/>
              </w:rPr>
            </w:pPr>
          </w:p>
          <w:p w:rsidR="00AF2770" w:rsidRDefault="00E261FA" w:rsidP="00692C11">
            <w:pPr>
              <w:rPr>
                <w:sz w:val="16"/>
                <w:szCs w:val="16"/>
                <w:lang w:val="en-US"/>
              </w:rPr>
            </w:pPr>
            <w:r>
              <w:rPr>
                <w:sz w:val="16"/>
                <w:szCs w:val="16"/>
                <w:lang w:val="en-US"/>
              </w:rPr>
              <w:t>Survey at time of annual report</w:t>
            </w:r>
          </w:p>
          <w:p w:rsidR="00E261FA" w:rsidRDefault="00E261FA" w:rsidP="00692C11">
            <w:pPr>
              <w:rPr>
                <w:sz w:val="16"/>
                <w:szCs w:val="16"/>
                <w:lang w:val="en-US"/>
              </w:rPr>
            </w:pPr>
          </w:p>
          <w:p w:rsidR="00E261FA" w:rsidRPr="00AB40C6" w:rsidRDefault="00E261FA" w:rsidP="00692C11">
            <w:pPr>
              <w:rPr>
                <w:sz w:val="16"/>
                <w:szCs w:val="16"/>
                <w:lang w:val="en-US"/>
              </w:rPr>
            </w:pPr>
          </w:p>
        </w:tc>
        <w:tc>
          <w:tcPr>
            <w:tcW w:w="2268" w:type="dxa"/>
          </w:tcPr>
          <w:p w:rsidR="00AB40C6" w:rsidRDefault="001226E2" w:rsidP="00692C11">
            <w:pPr>
              <w:rPr>
                <w:sz w:val="16"/>
                <w:szCs w:val="16"/>
                <w:lang w:val="en-US"/>
              </w:rPr>
            </w:pPr>
            <w:r>
              <w:rPr>
                <w:sz w:val="16"/>
                <w:szCs w:val="16"/>
                <w:lang w:val="en-US"/>
              </w:rPr>
              <w:t>Network Mgr</w:t>
            </w:r>
            <w:r w:rsidR="00081816">
              <w:rPr>
                <w:sz w:val="16"/>
                <w:szCs w:val="16"/>
                <w:lang w:val="en-US"/>
              </w:rPr>
              <w:t>.</w:t>
            </w:r>
            <w:r w:rsidR="00220B83">
              <w:rPr>
                <w:sz w:val="16"/>
                <w:szCs w:val="16"/>
                <w:lang w:val="en-US"/>
              </w:rPr>
              <w:t>, SD</w:t>
            </w:r>
            <w:r>
              <w:rPr>
                <w:sz w:val="16"/>
                <w:szCs w:val="16"/>
                <w:lang w:val="en-US"/>
              </w:rPr>
              <w:t xml:space="preserve"> and Board</w:t>
            </w:r>
          </w:p>
          <w:p w:rsidR="00AF2770" w:rsidRDefault="00AF2770" w:rsidP="00692C11">
            <w:pPr>
              <w:rPr>
                <w:sz w:val="16"/>
                <w:szCs w:val="16"/>
                <w:lang w:val="en-US"/>
              </w:rPr>
            </w:pPr>
          </w:p>
          <w:p w:rsidR="00E261FA" w:rsidRDefault="00E261FA" w:rsidP="00692C11">
            <w:pPr>
              <w:rPr>
                <w:sz w:val="16"/>
                <w:szCs w:val="16"/>
                <w:lang w:val="en-US"/>
              </w:rPr>
            </w:pPr>
            <w:r>
              <w:rPr>
                <w:sz w:val="16"/>
                <w:szCs w:val="16"/>
                <w:lang w:val="en-US"/>
              </w:rPr>
              <w:t>N</w:t>
            </w:r>
            <w:r w:rsidR="00081816">
              <w:rPr>
                <w:sz w:val="16"/>
                <w:szCs w:val="16"/>
                <w:lang w:val="en-US"/>
              </w:rPr>
              <w:t>etwork Mgr., SD, Exec. Comm.</w:t>
            </w:r>
          </w:p>
          <w:p w:rsidR="00E261FA" w:rsidRDefault="00E261FA" w:rsidP="00692C11">
            <w:pPr>
              <w:rPr>
                <w:sz w:val="16"/>
                <w:szCs w:val="16"/>
                <w:lang w:val="en-US"/>
              </w:rPr>
            </w:pPr>
          </w:p>
          <w:p w:rsidR="00AF2770" w:rsidRPr="00AB40C6" w:rsidRDefault="00E261FA" w:rsidP="00692C11">
            <w:pPr>
              <w:rPr>
                <w:sz w:val="16"/>
                <w:szCs w:val="16"/>
                <w:lang w:val="en-US"/>
              </w:rPr>
            </w:pPr>
            <w:r>
              <w:rPr>
                <w:sz w:val="16"/>
                <w:szCs w:val="16"/>
                <w:lang w:val="en-US"/>
              </w:rPr>
              <w:t>Network Mgr. and Board</w:t>
            </w:r>
          </w:p>
        </w:tc>
      </w:tr>
    </w:tbl>
    <w:p w:rsidR="002C12B2" w:rsidRDefault="002C12B2" w:rsidP="00692C11">
      <w:pPr>
        <w:rPr>
          <w:rFonts w:asciiTheme="majorHAnsi" w:eastAsiaTheme="majorEastAsia" w:hAnsiTheme="majorHAnsi" w:cstheme="majorBidi"/>
          <w:b/>
          <w:bCs/>
          <w:color w:val="365F91" w:themeColor="accent1" w:themeShade="BF"/>
          <w:sz w:val="28"/>
          <w:szCs w:val="28"/>
          <w:lang w:val="en-US"/>
        </w:rPr>
      </w:pPr>
    </w:p>
    <w:p w:rsidR="002C12B2" w:rsidRDefault="002C12B2">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br w:type="page"/>
      </w:r>
    </w:p>
    <w:p w:rsidR="002C12B2" w:rsidRDefault="00692C11" w:rsidP="0022201D">
      <w:pPr>
        <w:pStyle w:val="ListParagraph"/>
        <w:numPr>
          <w:ilvl w:val="0"/>
          <w:numId w:val="1"/>
        </w:numPr>
        <w:rPr>
          <w:rFonts w:asciiTheme="majorHAnsi" w:eastAsiaTheme="majorEastAsia" w:hAnsiTheme="majorHAnsi" w:cstheme="majorBidi"/>
          <w:b/>
          <w:bCs/>
          <w:color w:val="365F91" w:themeColor="accent1" w:themeShade="BF"/>
          <w:sz w:val="28"/>
          <w:szCs w:val="28"/>
          <w:lang w:val="en-US"/>
        </w:rPr>
      </w:pPr>
      <w:r w:rsidRPr="0022201D">
        <w:rPr>
          <w:rFonts w:asciiTheme="majorHAnsi" w:eastAsiaTheme="majorEastAsia" w:hAnsiTheme="majorHAnsi" w:cstheme="majorBidi"/>
          <w:b/>
          <w:bCs/>
          <w:color w:val="365F91" w:themeColor="accent1" w:themeShade="BF"/>
          <w:sz w:val="28"/>
          <w:szCs w:val="28"/>
          <w:lang w:val="en-US"/>
        </w:rPr>
        <w:t xml:space="preserve">Governance </w:t>
      </w:r>
    </w:p>
    <w:p w:rsidR="002C12B2" w:rsidRPr="0022201D" w:rsidRDefault="002C12B2" w:rsidP="0022201D">
      <w:pPr>
        <w:pStyle w:val="ListParagraph"/>
        <w:rPr>
          <w:rFonts w:asciiTheme="majorHAnsi" w:eastAsiaTheme="majorEastAsia" w:hAnsiTheme="majorHAnsi" w:cstheme="majorBidi"/>
          <w:b/>
          <w:bCs/>
          <w:color w:val="365F91" w:themeColor="accent1" w:themeShade="BF"/>
          <w:sz w:val="28"/>
          <w:szCs w:val="28"/>
          <w:lang w:val="en-US"/>
        </w:rPr>
      </w:pPr>
    </w:p>
    <w:p w:rsidR="002C12B2" w:rsidRDefault="002C12B2" w:rsidP="00692C11">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noProof/>
          <w:color w:val="365F91" w:themeColor="accent1" w:themeShade="BF"/>
          <w:sz w:val="28"/>
          <w:szCs w:val="28"/>
          <w:lang w:val="en-US"/>
        </w:rPr>
        <w:drawing>
          <wp:inline distT="0" distB="0" distL="0" distR="0">
            <wp:extent cx="5972810" cy="341376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PAR Governance Structure Dec 6 2012.png"/>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972810" cy="3413760"/>
                    </a:xfrm>
                    <a:prstGeom prst="rect">
                      <a:avLst/>
                    </a:prstGeom>
                  </pic:spPr>
                </pic:pic>
              </a:graphicData>
            </a:graphic>
          </wp:inline>
        </w:drawing>
      </w:r>
    </w:p>
    <w:p w:rsidR="002C12B2" w:rsidRPr="00AB2953" w:rsidRDefault="00692C11" w:rsidP="00692C11">
      <w:pPr>
        <w:rPr>
          <w:i/>
          <w:sz w:val="24"/>
          <w:lang w:val="en-US"/>
        </w:rPr>
      </w:pPr>
      <w:r w:rsidRPr="00AB2953">
        <w:rPr>
          <w:i/>
          <w:sz w:val="24"/>
          <w:lang w:val="en-US"/>
        </w:rPr>
        <w:t>Figure S4. Organizational Structure of MEOPAR</w:t>
      </w:r>
      <w:r w:rsidR="006E55EA" w:rsidRPr="00AB2953">
        <w:rPr>
          <w:i/>
          <w:lang w:val="en-US"/>
        </w:rPr>
        <w:t xml:space="preserve"> </w:t>
      </w:r>
    </w:p>
    <w:p w:rsidR="00692C11" w:rsidRDefault="00692C11" w:rsidP="00692C11">
      <w:pPr>
        <w:rPr>
          <w:sz w:val="24"/>
          <w:lang w:val="en-US"/>
        </w:rPr>
      </w:pPr>
      <w:r w:rsidRPr="00296543">
        <w:rPr>
          <w:sz w:val="24"/>
          <w:lang w:val="en-US"/>
        </w:rPr>
        <w:t>MEOP</w:t>
      </w:r>
      <w:r w:rsidR="0094354A">
        <w:rPr>
          <w:sz w:val="24"/>
          <w:lang w:val="en-US"/>
        </w:rPr>
        <w:t xml:space="preserve">AR’s governance structure is </w:t>
      </w:r>
      <w:r w:rsidR="008E56F9" w:rsidRPr="00296543">
        <w:rPr>
          <w:sz w:val="24"/>
          <w:lang w:val="en-US"/>
        </w:rPr>
        <w:t>illustrated in Figure S4,</w:t>
      </w:r>
      <w:r w:rsidRPr="00296543">
        <w:rPr>
          <w:sz w:val="24"/>
          <w:lang w:val="en-US"/>
        </w:rPr>
        <w:t xml:space="preserve"> with the committee mandates as follows:</w:t>
      </w:r>
    </w:p>
    <w:p w:rsidR="007A7780" w:rsidRPr="00AB2953" w:rsidRDefault="00B57C6F" w:rsidP="00AB2953">
      <w:pPr>
        <w:spacing w:after="0" w:line="240" w:lineRule="auto"/>
        <w:rPr>
          <w:rFonts w:cs="Arial"/>
          <w:sz w:val="24"/>
          <w:lang w:val="en-US"/>
        </w:rPr>
      </w:pPr>
      <w:r w:rsidRPr="00AB2953">
        <w:rPr>
          <w:rFonts w:cs="Arial"/>
          <w:sz w:val="24"/>
          <w:lang w:val="en-US"/>
        </w:rPr>
        <w:t xml:space="preserve">The </w:t>
      </w:r>
      <w:r w:rsidRPr="00AB2953">
        <w:rPr>
          <w:rFonts w:cs="Arial"/>
          <w:b/>
          <w:sz w:val="24"/>
          <w:lang w:val="en-US"/>
        </w:rPr>
        <w:t>Board of Directors (or “Board”)</w:t>
      </w:r>
      <w:r w:rsidRPr="00AB2953">
        <w:rPr>
          <w:rFonts w:cs="Arial"/>
          <w:sz w:val="24"/>
          <w:lang w:val="en-US"/>
        </w:rPr>
        <w:t xml:space="preserve"> </w:t>
      </w:r>
      <w:r w:rsidR="007A7780" w:rsidRPr="00AB2953">
        <w:rPr>
          <w:rFonts w:cs="Arial"/>
          <w:sz w:val="24"/>
          <w:lang w:val="en-US"/>
        </w:rPr>
        <w:t>is responsible for the overall governance of the network and acts in accordance with the By-Laws of MEOPAR Inc. The Board of Directors is accountable to the members and is responsible for steering and overseeing the activities and affairs of the corporation. The directors are elected by the members, and the members are appointed by resolution of the Board. The Board provides the strategic guidance for MEOPAR Inc. and approves the Network’s strategic plan and policies and procedures.</w:t>
      </w:r>
      <w:r w:rsidR="007A7780">
        <w:rPr>
          <w:rFonts w:cs="Arial"/>
          <w:sz w:val="24"/>
          <w:lang w:val="en-US"/>
        </w:rPr>
        <w:t xml:space="preserve"> </w:t>
      </w:r>
      <w:r w:rsidR="007A7780" w:rsidRPr="00AB2953">
        <w:rPr>
          <w:rFonts w:cs="Arial"/>
          <w:sz w:val="24"/>
          <w:lang w:val="en-US"/>
        </w:rPr>
        <w:t>Subcommittees of the Board of Directors include the Executive Committee and the Audit Committee.</w:t>
      </w:r>
    </w:p>
    <w:p w:rsidR="00B57C6F" w:rsidRPr="00AB2953" w:rsidRDefault="00B57C6F" w:rsidP="00AB2953">
      <w:pPr>
        <w:spacing w:after="0" w:line="240" w:lineRule="auto"/>
        <w:rPr>
          <w:rFonts w:cs="Arial"/>
          <w:sz w:val="24"/>
          <w:lang w:val="en-US"/>
        </w:rPr>
      </w:pPr>
    </w:p>
    <w:p w:rsidR="00B57C6F" w:rsidRPr="00296543" w:rsidRDefault="00B57C6F" w:rsidP="00B57C6F">
      <w:pPr>
        <w:spacing w:after="0" w:line="240" w:lineRule="auto"/>
        <w:rPr>
          <w:rFonts w:eastAsia="Times New Roman" w:cs="Arial"/>
          <w:sz w:val="24"/>
          <w:szCs w:val="24"/>
          <w:lang w:val="en-US"/>
        </w:rPr>
      </w:pPr>
      <w:r w:rsidRPr="00296543">
        <w:rPr>
          <w:rFonts w:eastAsia="Times New Roman" w:cs="Arial"/>
          <w:sz w:val="24"/>
          <w:szCs w:val="24"/>
          <w:lang w:val="en-US"/>
        </w:rPr>
        <w:t xml:space="preserve">The </w:t>
      </w:r>
      <w:r w:rsidRPr="00296543">
        <w:rPr>
          <w:rFonts w:eastAsia="Times New Roman" w:cs="Arial"/>
          <w:b/>
          <w:sz w:val="24"/>
          <w:szCs w:val="24"/>
          <w:lang w:val="en-US"/>
        </w:rPr>
        <w:t xml:space="preserve">Executive Committee </w:t>
      </w:r>
      <w:r w:rsidRPr="00296543">
        <w:rPr>
          <w:rFonts w:eastAsia="Times New Roman" w:cs="Arial"/>
          <w:sz w:val="24"/>
          <w:szCs w:val="24"/>
          <w:lang w:val="en-US"/>
        </w:rPr>
        <w:t xml:space="preserve">is an advisory committee to the MEOPAR management and Board on MEOPAR management issues. </w:t>
      </w:r>
      <w:r>
        <w:rPr>
          <w:rFonts w:eastAsia="Times New Roman" w:cs="Arial"/>
          <w:sz w:val="24"/>
          <w:szCs w:val="24"/>
          <w:lang w:val="en-US"/>
        </w:rPr>
        <w:t>T</w:t>
      </w:r>
      <w:r w:rsidRPr="00296543">
        <w:rPr>
          <w:rFonts w:eastAsia="Times New Roman" w:cs="Arial"/>
          <w:sz w:val="24"/>
          <w:szCs w:val="24"/>
          <w:lang w:val="en-US"/>
        </w:rPr>
        <w:t>he Executive Committee is expected to perform the following roles or as additionally directed by the Board:</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Coordinate and make recommendations to the Board on Strategic Directions and coordination of the annual business cycle;</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Assess and advise the Board on matters of governance of MEOPAR Inc.;</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Recommend to the Board nominations for MEOPAR management if and when required;</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Action matters on behalf of the Board pertaining to resolution of conflict consistent with MEOPAR Inc.’s by-laws and corporate policies;</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Provide oversight on behalf of the Board MEOPAR Inc. human resources policies and management.</w:t>
      </w:r>
    </w:p>
    <w:p w:rsidR="00B57C6F" w:rsidRPr="00296543" w:rsidRDefault="00B57C6F" w:rsidP="00B57C6F">
      <w:pPr>
        <w:autoSpaceDE w:val="0"/>
        <w:autoSpaceDN w:val="0"/>
        <w:adjustRightInd w:val="0"/>
        <w:spacing w:after="0" w:line="240" w:lineRule="auto"/>
        <w:rPr>
          <w:rFonts w:cs="Calibri"/>
          <w:sz w:val="24"/>
          <w:lang w:val="en-US"/>
        </w:rPr>
      </w:pPr>
    </w:p>
    <w:p w:rsidR="00B57C6F" w:rsidRPr="00296543" w:rsidRDefault="00B57C6F" w:rsidP="00B57C6F">
      <w:pPr>
        <w:spacing w:after="0" w:line="240" w:lineRule="auto"/>
        <w:rPr>
          <w:rFonts w:eastAsia="Times New Roman" w:cs="Arial"/>
          <w:sz w:val="24"/>
          <w:szCs w:val="24"/>
          <w:lang w:val="en-US"/>
        </w:rPr>
      </w:pPr>
      <w:r w:rsidRPr="00296543">
        <w:rPr>
          <w:rFonts w:eastAsia="Times New Roman" w:cs="Arial"/>
          <w:sz w:val="24"/>
          <w:szCs w:val="24"/>
          <w:lang w:val="en-US"/>
        </w:rPr>
        <w:t xml:space="preserve">The </w:t>
      </w:r>
      <w:r w:rsidRPr="00296543">
        <w:rPr>
          <w:rFonts w:eastAsia="Times New Roman" w:cs="Arial"/>
          <w:b/>
          <w:sz w:val="24"/>
          <w:szCs w:val="24"/>
          <w:lang w:val="en-US"/>
        </w:rPr>
        <w:t>Audit Committee</w:t>
      </w:r>
      <w:r w:rsidRPr="00296543">
        <w:rPr>
          <w:rFonts w:eastAsia="Times New Roman" w:cs="Arial"/>
          <w:sz w:val="24"/>
          <w:szCs w:val="24"/>
          <w:lang w:val="en-US"/>
        </w:rPr>
        <w:t xml:space="preserve"> is an advisory committee to the MEOPAR management and Board on audit and financial management issues.  The Audit Committee is expected to take on the following roles when recommendations are necessary to the Board:</w:t>
      </w:r>
    </w:p>
    <w:p w:rsidR="00B57C6F" w:rsidRPr="00296543" w:rsidRDefault="00B57C6F" w:rsidP="00B57C6F">
      <w:pPr>
        <w:numPr>
          <w:ilvl w:val="0"/>
          <w:numId w:val="7"/>
        </w:numPr>
        <w:spacing w:after="0" w:line="240" w:lineRule="auto"/>
        <w:ind w:left="372" w:hanging="348"/>
        <w:rPr>
          <w:rFonts w:cs="Arial"/>
          <w:bCs/>
          <w:sz w:val="24"/>
          <w:lang w:val="en-US"/>
        </w:rPr>
      </w:pPr>
      <w:r w:rsidRPr="00296543">
        <w:rPr>
          <w:rFonts w:cs="Arial"/>
          <w:bCs/>
          <w:sz w:val="24"/>
          <w:lang w:val="en-US"/>
        </w:rPr>
        <w:t>Review MEOPAR corporate services and policies and make recommendations to the Board for approval;</w:t>
      </w:r>
    </w:p>
    <w:p w:rsidR="00B57C6F" w:rsidRPr="00296543" w:rsidRDefault="00B57C6F" w:rsidP="00B57C6F">
      <w:pPr>
        <w:numPr>
          <w:ilvl w:val="0"/>
          <w:numId w:val="7"/>
        </w:numPr>
        <w:spacing w:after="0" w:line="240" w:lineRule="auto"/>
        <w:ind w:left="372" w:hanging="348"/>
        <w:rPr>
          <w:rFonts w:cs="Arial"/>
          <w:bCs/>
          <w:sz w:val="24"/>
          <w:lang w:val="en-US"/>
        </w:rPr>
      </w:pPr>
      <w:r w:rsidRPr="00296543">
        <w:rPr>
          <w:rFonts w:cs="Arial"/>
          <w:bCs/>
          <w:sz w:val="24"/>
          <w:lang w:val="en-US"/>
        </w:rPr>
        <w:t>Review the MEOPAR audit report, management budget, and financial statements;</w:t>
      </w:r>
    </w:p>
    <w:p w:rsidR="00B57C6F" w:rsidRPr="00296543" w:rsidRDefault="00B57C6F" w:rsidP="00B57C6F">
      <w:pPr>
        <w:numPr>
          <w:ilvl w:val="0"/>
          <w:numId w:val="7"/>
        </w:numPr>
        <w:spacing w:after="0" w:line="240" w:lineRule="auto"/>
        <w:ind w:left="372" w:hanging="348"/>
        <w:rPr>
          <w:rFonts w:cs="Arial"/>
          <w:sz w:val="24"/>
          <w:lang w:val="en-US"/>
        </w:rPr>
      </w:pPr>
      <w:r w:rsidRPr="00296543">
        <w:rPr>
          <w:rFonts w:cs="Arial"/>
          <w:bCs/>
          <w:sz w:val="24"/>
          <w:lang w:val="en-US"/>
        </w:rPr>
        <w:t>Conduct an appointment review for the MEOPAR auditor, banker, and financial advisor (if any);</w:t>
      </w:r>
    </w:p>
    <w:p w:rsidR="00B57C6F" w:rsidRPr="00296543" w:rsidRDefault="00B57C6F" w:rsidP="00B57C6F">
      <w:pPr>
        <w:numPr>
          <w:ilvl w:val="0"/>
          <w:numId w:val="7"/>
        </w:numPr>
        <w:spacing w:after="0" w:line="240" w:lineRule="auto"/>
        <w:ind w:left="372" w:hanging="348"/>
        <w:rPr>
          <w:rFonts w:cs="Arial"/>
          <w:sz w:val="24"/>
          <w:lang w:val="en-US"/>
        </w:rPr>
      </w:pPr>
      <w:r w:rsidRPr="00296543">
        <w:rPr>
          <w:rFonts w:cs="Arial"/>
          <w:bCs/>
          <w:sz w:val="24"/>
          <w:lang w:val="en-US"/>
        </w:rPr>
        <w:t>Review the MEOPAR investment</w:t>
      </w:r>
      <w:r>
        <w:rPr>
          <w:rFonts w:cs="Arial"/>
          <w:bCs/>
          <w:sz w:val="24"/>
          <w:lang w:val="en-US"/>
        </w:rPr>
        <w:t xml:space="preserve"> </w:t>
      </w:r>
      <w:r w:rsidRPr="00296543">
        <w:rPr>
          <w:rFonts w:cs="Arial"/>
          <w:bCs/>
          <w:sz w:val="24"/>
          <w:lang w:val="en-US"/>
        </w:rPr>
        <w:t>policy.</w:t>
      </w:r>
    </w:p>
    <w:p w:rsidR="00B57C6F" w:rsidRDefault="00B57C6F" w:rsidP="00692C11">
      <w:pPr>
        <w:autoSpaceDE w:val="0"/>
        <w:autoSpaceDN w:val="0"/>
        <w:adjustRightInd w:val="0"/>
        <w:spacing w:after="0" w:line="240" w:lineRule="auto"/>
        <w:rPr>
          <w:rFonts w:cs="Calibri"/>
          <w:sz w:val="24"/>
          <w:lang w:val="en-US"/>
        </w:rPr>
      </w:pPr>
    </w:p>
    <w:p w:rsidR="00692C11" w:rsidRPr="00296543" w:rsidRDefault="00692C11" w:rsidP="00692C11">
      <w:pPr>
        <w:autoSpaceDE w:val="0"/>
        <w:autoSpaceDN w:val="0"/>
        <w:adjustRightInd w:val="0"/>
        <w:spacing w:after="0" w:line="240" w:lineRule="auto"/>
        <w:rPr>
          <w:rFonts w:cs="Calibri"/>
          <w:sz w:val="24"/>
          <w:lang w:val="en-US"/>
        </w:rPr>
      </w:pPr>
      <w:r w:rsidRPr="00296543">
        <w:rPr>
          <w:rFonts w:cs="Calibri"/>
          <w:sz w:val="24"/>
          <w:lang w:val="en-US"/>
        </w:rPr>
        <w:t xml:space="preserve">The </w:t>
      </w:r>
      <w:r w:rsidRPr="00296543">
        <w:rPr>
          <w:rFonts w:cs="Calibri"/>
          <w:b/>
          <w:sz w:val="24"/>
          <w:lang w:val="en-US"/>
        </w:rPr>
        <w:t>Research Management Committee (RMC)</w:t>
      </w:r>
      <w:r w:rsidRPr="00296543">
        <w:rPr>
          <w:rFonts w:cs="Calibri"/>
          <w:sz w:val="24"/>
          <w:lang w:val="en-US"/>
        </w:rPr>
        <w:t xml:space="preserve"> </w:t>
      </w:r>
      <w:r w:rsidR="00551AC0" w:rsidRPr="00296543">
        <w:rPr>
          <w:rFonts w:cs="Calibri"/>
          <w:sz w:val="24"/>
          <w:lang w:val="en-US"/>
        </w:rPr>
        <w:t>has</w:t>
      </w:r>
      <w:r w:rsidRPr="00296543">
        <w:rPr>
          <w:rFonts w:cs="Calibri"/>
          <w:sz w:val="24"/>
          <w:lang w:val="en-US"/>
        </w:rPr>
        <w:t xml:space="preserve"> key responsibility for ongoing assessment of the research projects, setting of research priorities and </w:t>
      </w:r>
      <w:r w:rsidR="00842BAE">
        <w:rPr>
          <w:rFonts w:cs="Calibri"/>
          <w:sz w:val="24"/>
          <w:lang w:val="en-US"/>
        </w:rPr>
        <w:t xml:space="preserve">recommending </w:t>
      </w:r>
      <w:r w:rsidRPr="00296543">
        <w:rPr>
          <w:rFonts w:cs="Calibri"/>
          <w:sz w:val="24"/>
          <w:lang w:val="en-US"/>
        </w:rPr>
        <w:t xml:space="preserve">budget allocations, and will make recommendations concerning performance to the Scientific Director who, in turn, will present them to the Board. Through annual review of the scientific progress reports submitted by </w:t>
      </w:r>
      <w:r w:rsidR="008E56F9" w:rsidRPr="00296543">
        <w:rPr>
          <w:rFonts w:cs="Calibri"/>
          <w:sz w:val="24"/>
          <w:lang w:val="en-US"/>
        </w:rPr>
        <w:t>Projects and Cores</w:t>
      </w:r>
      <w:r w:rsidRPr="00296543">
        <w:rPr>
          <w:rFonts w:cs="Calibri"/>
          <w:sz w:val="24"/>
          <w:lang w:val="en-US"/>
        </w:rPr>
        <w:t>, the RMC will monitor the progress of the funded projects in terms of their scientific advances and outcomes in training, K</w:t>
      </w:r>
      <w:r w:rsidR="005D5F62">
        <w:rPr>
          <w:rFonts w:cs="Calibri"/>
          <w:sz w:val="24"/>
          <w:lang w:val="en-US"/>
        </w:rPr>
        <w:t xml:space="preserve">nowledge </w:t>
      </w:r>
      <w:r w:rsidRPr="00296543">
        <w:rPr>
          <w:rFonts w:cs="Calibri"/>
          <w:sz w:val="24"/>
          <w:lang w:val="en-US"/>
        </w:rPr>
        <w:t>T</w:t>
      </w:r>
      <w:r w:rsidR="005D5F62">
        <w:rPr>
          <w:rFonts w:cs="Calibri"/>
          <w:sz w:val="24"/>
          <w:lang w:val="en-US"/>
        </w:rPr>
        <w:t xml:space="preserve">ransfer, </w:t>
      </w:r>
      <w:r w:rsidRPr="00296543">
        <w:rPr>
          <w:rFonts w:cs="Calibri"/>
          <w:sz w:val="24"/>
          <w:lang w:val="en-US"/>
        </w:rPr>
        <w:t>E</w:t>
      </w:r>
      <w:r w:rsidR="005D5F62">
        <w:rPr>
          <w:rFonts w:cs="Calibri"/>
          <w:sz w:val="24"/>
          <w:lang w:val="en-US"/>
        </w:rPr>
        <w:t xml:space="preserve">xchange and </w:t>
      </w:r>
      <w:r w:rsidRPr="00296543">
        <w:rPr>
          <w:rFonts w:cs="Calibri"/>
          <w:sz w:val="24"/>
          <w:lang w:val="en-US"/>
        </w:rPr>
        <w:t>E</w:t>
      </w:r>
      <w:r w:rsidR="005D5F62">
        <w:rPr>
          <w:rFonts w:cs="Calibri"/>
          <w:sz w:val="24"/>
          <w:lang w:val="en-US"/>
        </w:rPr>
        <w:t>xploitation (KTEE)</w:t>
      </w:r>
      <w:r w:rsidRPr="00296543">
        <w:rPr>
          <w:rFonts w:cs="Calibri"/>
          <w:sz w:val="24"/>
          <w:lang w:val="en-US"/>
        </w:rPr>
        <w:t xml:space="preserve">, Commercialization and Networking. The RMC may make specific recommendations </w:t>
      </w:r>
      <w:bookmarkStart w:id="4" w:name="_GoBack"/>
      <w:bookmarkEnd w:id="4"/>
      <w:r w:rsidRPr="00296543">
        <w:rPr>
          <w:rFonts w:cs="Calibri"/>
          <w:sz w:val="24"/>
          <w:lang w:val="en-US"/>
        </w:rPr>
        <w:t xml:space="preserve">regarding project performance, with possible adjustments made to funding for the following year. </w:t>
      </w:r>
    </w:p>
    <w:p w:rsidR="00692C11" w:rsidRPr="00296543" w:rsidRDefault="00692C11" w:rsidP="00692C11">
      <w:pPr>
        <w:autoSpaceDE w:val="0"/>
        <w:autoSpaceDN w:val="0"/>
        <w:adjustRightInd w:val="0"/>
        <w:spacing w:after="0" w:line="240" w:lineRule="auto"/>
        <w:rPr>
          <w:rFonts w:cs="ArialMT"/>
          <w:sz w:val="24"/>
          <w:szCs w:val="24"/>
          <w:lang w:val="en-US"/>
        </w:rPr>
      </w:pPr>
    </w:p>
    <w:p w:rsidR="00692C11" w:rsidRPr="00296543" w:rsidRDefault="00692C11" w:rsidP="002A2AF4">
      <w:pPr>
        <w:spacing w:after="0" w:line="240" w:lineRule="auto"/>
        <w:contextualSpacing/>
        <w:rPr>
          <w:rFonts w:eastAsia="Cambria" w:cs="Times New Roman"/>
          <w:b/>
          <w:i/>
          <w:iCs/>
          <w:sz w:val="24"/>
          <w:szCs w:val="24"/>
          <w:lang w:val="en-US"/>
        </w:rPr>
      </w:pPr>
      <w:r w:rsidRPr="00296543">
        <w:rPr>
          <w:rFonts w:cstheme="minorHAnsi"/>
          <w:b/>
          <w:bCs/>
          <w:sz w:val="24"/>
          <w:lang w:val="en-US"/>
        </w:rPr>
        <w:t xml:space="preserve">International Scientific Advisory Committee (ISAC): </w:t>
      </w:r>
      <w:r w:rsidRPr="00296543">
        <w:rPr>
          <w:rFonts w:cstheme="minorHAnsi"/>
          <w:sz w:val="24"/>
          <w:lang w:val="en-US"/>
        </w:rPr>
        <w:t xml:space="preserve">To ensure transparency and an arm’s length approach in project review and selection, an International Scientific Advisory Committee (ISAC) will review project selection and review criteria, perform an annual assessment of the research program, and advise on the review of Open Call proposals. The ISAC will be composed of internationally recognized researchers and will provide strategic </w:t>
      </w:r>
      <w:r w:rsidR="002A2AF4" w:rsidRPr="00296543">
        <w:rPr>
          <w:sz w:val="24"/>
          <w:lang w:val="en-US"/>
        </w:rPr>
        <w:t xml:space="preserve">“Anticipation” </w:t>
      </w:r>
      <w:r w:rsidRPr="00296543">
        <w:rPr>
          <w:rFonts w:cstheme="minorHAnsi"/>
          <w:sz w:val="24"/>
          <w:lang w:val="en-US"/>
        </w:rPr>
        <w:t>advice on the scientific directions that will ensure MEOPAR achieves its long term objectives of excellence and leadership in marine prediction and risk analysis. The ISAC will provide advice to the Board concerning research priorities and proposed topics for the Open Call competitions to ensure they fit within the strategic aims of the Network. The ISAC will meet once per year with the Research Management Committee, usually in conjunction with the Annual Science Meeting. Membership on this Committee will include international experts in relevant fields including atmospheric and ocean prediction, climate change, socioeconomic impacts of climate change, risk and loss prevention. The ISAC members will appoint their own chair who will hold the position for an 18-month period (to cover one Open Call), subject to review by the Board.</w:t>
      </w:r>
    </w:p>
    <w:p w:rsidR="00692C11" w:rsidRPr="00296543" w:rsidRDefault="00692C11" w:rsidP="00692C11">
      <w:pPr>
        <w:autoSpaceDE w:val="0"/>
        <w:autoSpaceDN w:val="0"/>
        <w:adjustRightInd w:val="0"/>
        <w:spacing w:after="0" w:line="240" w:lineRule="auto"/>
        <w:rPr>
          <w:rFonts w:cstheme="minorHAnsi"/>
          <w:sz w:val="24"/>
          <w:lang w:val="en-US"/>
        </w:rPr>
      </w:pPr>
    </w:p>
    <w:p w:rsidR="00C51561" w:rsidRPr="00692C11" w:rsidRDefault="00C51561" w:rsidP="00AB2953">
      <w:pPr>
        <w:spacing w:after="0" w:line="240" w:lineRule="auto"/>
        <w:rPr>
          <w:lang w:val="en-US"/>
        </w:rPr>
      </w:pPr>
    </w:p>
    <w:sectPr w:rsidR="00C51561" w:rsidRPr="00692C11" w:rsidSect="0022201D">
      <w:footerReference w:type="even" r:id="rId13"/>
      <w:footerReference w:type="default" r:id="rId14"/>
      <w:pgSz w:w="12240" w:h="15840" w:code="1"/>
      <w:pgMar w:top="1417" w:right="1417" w:bottom="1134" w:left="1417" w:header="708"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76" w:rsidRDefault="009E7C76">
      <w:pPr>
        <w:spacing w:after="0" w:line="240" w:lineRule="auto"/>
      </w:pPr>
      <w:r>
        <w:separator/>
      </w:r>
    </w:p>
  </w:endnote>
  <w:endnote w:type="continuationSeparator" w:id="0">
    <w:p w:rsidR="009E7C76" w:rsidRDefault="009E7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6" w:rsidRDefault="00D42BC1" w:rsidP="00FA3917">
    <w:pPr>
      <w:pStyle w:val="Footer"/>
      <w:framePr w:wrap="around" w:vAnchor="text" w:hAnchor="margin" w:xAlign="center" w:y="1"/>
      <w:rPr>
        <w:rStyle w:val="PageNumber"/>
      </w:rPr>
    </w:pPr>
    <w:r>
      <w:rPr>
        <w:rStyle w:val="PageNumber"/>
      </w:rPr>
      <w:fldChar w:fldCharType="begin"/>
    </w:r>
    <w:r w:rsidR="00634656">
      <w:rPr>
        <w:rStyle w:val="PageNumber"/>
      </w:rPr>
      <w:instrText xml:space="preserve">PAGE  </w:instrText>
    </w:r>
    <w:r>
      <w:rPr>
        <w:rStyle w:val="PageNumber"/>
      </w:rPr>
      <w:fldChar w:fldCharType="end"/>
    </w:r>
  </w:p>
  <w:p w:rsidR="00634656" w:rsidRDefault="0063465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6" w:rsidRDefault="00D42BC1" w:rsidP="00FA3917">
    <w:pPr>
      <w:pStyle w:val="Footer"/>
      <w:framePr w:wrap="around" w:vAnchor="text" w:hAnchor="margin" w:xAlign="center" w:y="1"/>
      <w:rPr>
        <w:rStyle w:val="PageNumber"/>
      </w:rPr>
    </w:pPr>
    <w:r>
      <w:rPr>
        <w:rStyle w:val="PageNumber"/>
      </w:rPr>
      <w:fldChar w:fldCharType="begin"/>
    </w:r>
    <w:r w:rsidR="00634656">
      <w:rPr>
        <w:rStyle w:val="PageNumber"/>
      </w:rPr>
      <w:instrText xml:space="preserve">PAGE  </w:instrText>
    </w:r>
    <w:r>
      <w:rPr>
        <w:rStyle w:val="PageNumber"/>
      </w:rPr>
      <w:fldChar w:fldCharType="separate"/>
    </w:r>
    <w:r w:rsidR="00EE7F52">
      <w:rPr>
        <w:rStyle w:val="PageNumber"/>
        <w:noProof/>
      </w:rPr>
      <w:t>12</w:t>
    </w:r>
    <w:r>
      <w:rPr>
        <w:rStyle w:val="PageNumber"/>
      </w:rPr>
      <w:fldChar w:fldCharType="end"/>
    </w:r>
  </w:p>
  <w:p w:rsidR="00634656" w:rsidRDefault="0063465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76" w:rsidRDefault="009E7C76">
      <w:pPr>
        <w:spacing w:after="0" w:line="240" w:lineRule="auto"/>
      </w:pPr>
      <w:r>
        <w:separator/>
      </w:r>
    </w:p>
  </w:footnote>
  <w:footnote w:type="continuationSeparator" w:id="0">
    <w:p w:rsidR="009E7C76" w:rsidRDefault="009E7C7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170"/>
    <w:multiLevelType w:val="hybridMultilevel"/>
    <w:tmpl w:val="5C3263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4E7B81"/>
    <w:multiLevelType w:val="hybridMultilevel"/>
    <w:tmpl w:val="A3EC0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10123D"/>
    <w:multiLevelType w:val="hybridMultilevel"/>
    <w:tmpl w:val="E1480C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DE234B"/>
    <w:multiLevelType w:val="hybridMultilevel"/>
    <w:tmpl w:val="19369B10"/>
    <w:lvl w:ilvl="0" w:tplc="4D96C3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E0277A9"/>
    <w:multiLevelType w:val="hybridMultilevel"/>
    <w:tmpl w:val="BCF21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E9B3D72"/>
    <w:multiLevelType w:val="hybridMultilevel"/>
    <w:tmpl w:val="0BE0DE2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29012F"/>
    <w:multiLevelType w:val="hybridMultilevel"/>
    <w:tmpl w:val="CBE4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A23BE"/>
    <w:multiLevelType w:val="hybridMultilevel"/>
    <w:tmpl w:val="300EF1C6"/>
    <w:lvl w:ilvl="0" w:tplc="AF9C9FD4">
      <w:start w:val="1"/>
      <w:numFmt w:val="low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B76C92"/>
    <w:multiLevelType w:val="hybridMultilevel"/>
    <w:tmpl w:val="57780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45C0FAE"/>
    <w:multiLevelType w:val="hybridMultilevel"/>
    <w:tmpl w:val="FD0ED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62C157D"/>
    <w:multiLevelType w:val="multilevel"/>
    <w:tmpl w:val="FA1A6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C9307A2"/>
    <w:multiLevelType w:val="multilevel"/>
    <w:tmpl w:val="FA1A6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E3A798E"/>
    <w:multiLevelType w:val="hybridMultilevel"/>
    <w:tmpl w:val="BCF21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55B6EC1"/>
    <w:multiLevelType w:val="hybridMultilevel"/>
    <w:tmpl w:val="40E895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E3C2524"/>
    <w:multiLevelType w:val="hybridMultilevel"/>
    <w:tmpl w:val="18CE0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9"/>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4"/>
  </w:num>
  <w:num w:numId="11">
    <w:abstractNumId w:val="3"/>
  </w:num>
  <w:num w:numId="12">
    <w:abstractNumId w:val="8"/>
  </w:num>
  <w:num w:numId="13">
    <w:abstractNumId w:val="2"/>
  </w:num>
  <w:num w:numId="14">
    <w:abstractNumId w:val="6"/>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revisionView w:markup="0"/>
  <w:doNotTrackMoves/>
  <w:defaultTabStop w:val="708"/>
  <w:hyphenationZone w:val="425"/>
  <w:characterSpacingControl w:val="doNotCompress"/>
  <w:footnotePr>
    <w:footnote w:id="-1"/>
    <w:footnote w:id="0"/>
  </w:footnotePr>
  <w:endnotePr>
    <w:endnote w:id="-1"/>
    <w:endnote w:id="0"/>
  </w:endnotePr>
  <w:compat/>
  <w:rsids>
    <w:rsidRoot w:val="00692C11"/>
    <w:rsid w:val="0002444C"/>
    <w:rsid w:val="00081816"/>
    <w:rsid w:val="0008327D"/>
    <w:rsid w:val="000953C2"/>
    <w:rsid w:val="000A7F69"/>
    <w:rsid w:val="000E2DDA"/>
    <w:rsid w:val="001226E2"/>
    <w:rsid w:val="001237DC"/>
    <w:rsid w:val="001A52DA"/>
    <w:rsid w:val="001C2E30"/>
    <w:rsid w:val="001D2394"/>
    <w:rsid w:val="001D3C8C"/>
    <w:rsid w:val="001E020A"/>
    <w:rsid w:val="00213710"/>
    <w:rsid w:val="00220B83"/>
    <w:rsid w:val="002218EE"/>
    <w:rsid w:val="0022201D"/>
    <w:rsid w:val="002234BB"/>
    <w:rsid w:val="00250173"/>
    <w:rsid w:val="00255AC2"/>
    <w:rsid w:val="00267005"/>
    <w:rsid w:val="00296543"/>
    <w:rsid w:val="002A2AF4"/>
    <w:rsid w:val="002C12B2"/>
    <w:rsid w:val="002E0B7D"/>
    <w:rsid w:val="002F01EC"/>
    <w:rsid w:val="00303FAB"/>
    <w:rsid w:val="00364DE0"/>
    <w:rsid w:val="00372A58"/>
    <w:rsid w:val="003940D0"/>
    <w:rsid w:val="003B33A8"/>
    <w:rsid w:val="003C4842"/>
    <w:rsid w:val="003D0089"/>
    <w:rsid w:val="003D1679"/>
    <w:rsid w:val="0042094F"/>
    <w:rsid w:val="00420DE6"/>
    <w:rsid w:val="0049023A"/>
    <w:rsid w:val="004D160F"/>
    <w:rsid w:val="00523389"/>
    <w:rsid w:val="005266E7"/>
    <w:rsid w:val="00551AC0"/>
    <w:rsid w:val="005633D6"/>
    <w:rsid w:val="00590F93"/>
    <w:rsid w:val="005D0408"/>
    <w:rsid w:val="005D5F62"/>
    <w:rsid w:val="0061782A"/>
    <w:rsid w:val="00634656"/>
    <w:rsid w:val="006350A1"/>
    <w:rsid w:val="006743A4"/>
    <w:rsid w:val="00692C11"/>
    <w:rsid w:val="006A08B1"/>
    <w:rsid w:val="006C49EE"/>
    <w:rsid w:val="006C7D96"/>
    <w:rsid w:val="006E55EA"/>
    <w:rsid w:val="006E5B1C"/>
    <w:rsid w:val="00701082"/>
    <w:rsid w:val="007058CA"/>
    <w:rsid w:val="00736AC3"/>
    <w:rsid w:val="00765EDC"/>
    <w:rsid w:val="00780BDD"/>
    <w:rsid w:val="007A6EE0"/>
    <w:rsid w:val="007A7780"/>
    <w:rsid w:val="007B0C2A"/>
    <w:rsid w:val="007C3E18"/>
    <w:rsid w:val="00842BAE"/>
    <w:rsid w:val="00851E88"/>
    <w:rsid w:val="008930BF"/>
    <w:rsid w:val="008967D3"/>
    <w:rsid w:val="008D25C6"/>
    <w:rsid w:val="008E56F9"/>
    <w:rsid w:val="00903189"/>
    <w:rsid w:val="0094354A"/>
    <w:rsid w:val="00952B33"/>
    <w:rsid w:val="00984786"/>
    <w:rsid w:val="009A050C"/>
    <w:rsid w:val="009A1D64"/>
    <w:rsid w:val="009A6506"/>
    <w:rsid w:val="009B1714"/>
    <w:rsid w:val="009B40CF"/>
    <w:rsid w:val="009C0E08"/>
    <w:rsid w:val="009C28CE"/>
    <w:rsid w:val="009C5DA0"/>
    <w:rsid w:val="009D4E8A"/>
    <w:rsid w:val="009E44C0"/>
    <w:rsid w:val="009E7C76"/>
    <w:rsid w:val="009F5032"/>
    <w:rsid w:val="009F774B"/>
    <w:rsid w:val="00A11297"/>
    <w:rsid w:val="00A46812"/>
    <w:rsid w:val="00A81FD4"/>
    <w:rsid w:val="00A90F2D"/>
    <w:rsid w:val="00AB2953"/>
    <w:rsid w:val="00AB40C6"/>
    <w:rsid w:val="00AC0D27"/>
    <w:rsid w:val="00AF2770"/>
    <w:rsid w:val="00B16E04"/>
    <w:rsid w:val="00B57C6F"/>
    <w:rsid w:val="00B64C67"/>
    <w:rsid w:val="00B752DA"/>
    <w:rsid w:val="00BE1186"/>
    <w:rsid w:val="00C17C9F"/>
    <w:rsid w:val="00C51561"/>
    <w:rsid w:val="00C85BEE"/>
    <w:rsid w:val="00CB5B1C"/>
    <w:rsid w:val="00CF5DA2"/>
    <w:rsid w:val="00D35930"/>
    <w:rsid w:val="00D42BC1"/>
    <w:rsid w:val="00DE2E8E"/>
    <w:rsid w:val="00DE3FFC"/>
    <w:rsid w:val="00DF24FC"/>
    <w:rsid w:val="00E261FA"/>
    <w:rsid w:val="00E3381D"/>
    <w:rsid w:val="00E441FF"/>
    <w:rsid w:val="00E5619E"/>
    <w:rsid w:val="00E6319C"/>
    <w:rsid w:val="00E67FE5"/>
    <w:rsid w:val="00E851D6"/>
    <w:rsid w:val="00EA7F5C"/>
    <w:rsid w:val="00EE7F52"/>
    <w:rsid w:val="00EF09E4"/>
    <w:rsid w:val="00F834F3"/>
    <w:rsid w:val="00F855F8"/>
  </w:rsids>
  <m:mathPr>
    <m:mathFont m:val="儷黑 Pro"/>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BEE"/>
  </w:style>
  <w:style w:type="paragraph" w:styleId="Heading1">
    <w:name w:val="heading 1"/>
    <w:basedOn w:val="Normal"/>
    <w:next w:val="Normal"/>
    <w:link w:val="Heading1Char"/>
    <w:uiPriority w:val="9"/>
    <w:qFormat/>
    <w:rsid w:val="00255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92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C11"/>
    <w:rPr>
      <w:rFonts w:ascii="Tahoma" w:hAnsi="Tahoma" w:cs="Tahoma"/>
      <w:sz w:val="16"/>
      <w:szCs w:val="16"/>
    </w:rPr>
  </w:style>
  <w:style w:type="paragraph" w:styleId="ListParagraph">
    <w:name w:val="List Paragraph"/>
    <w:basedOn w:val="Normal"/>
    <w:uiPriority w:val="34"/>
    <w:qFormat/>
    <w:rsid w:val="00255AC2"/>
    <w:pPr>
      <w:ind w:left="720"/>
      <w:contextualSpacing/>
    </w:pPr>
  </w:style>
  <w:style w:type="character" w:customStyle="1" w:styleId="Heading1Char">
    <w:name w:val="Heading 1 Char"/>
    <w:basedOn w:val="DefaultParagraphFont"/>
    <w:link w:val="Heading1"/>
    <w:uiPriority w:val="9"/>
    <w:rsid w:val="00255AC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B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63465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34656"/>
  </w:style>
  <w:style w:type="character" w:styleId="PageNumber">
    <w:name w:val="page number"/>
    <w:basedOn w:val="DefaultParagraphFont"/>
    <w:uiPriority w:val="99"/>
    <w:semiHidden/>
    <w:unhideWhenUsed/>
    <w:rsid w:val="00634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C11"/>
    <w:rPr>
      <w:rFonts w:ascii="Tahoma" w:hAnsi="Tahoma" w:cs="Tahoma"/>
      <w:sz w:val="16"/>
      <w:szCs w:val="16"/>
    </w:rPr>
  </w:style>
  <w:style w:type="paragraph" w:styleId="ListParagraph">
    <w:name w:val="List Paragraph"/>
    <w:basedOn w:val="Normal"/>
    <w:uiPriority w:val="34"/>
    <w:qFormat/>
    <w:rsid w:val="00255AC2"/>
    <w:pPr>
      <w:ind w:left="720"/>
      <w:contextualSpacing/>
    </w:pPr>
  </w:style>
  <w:style w:type="character" w:customStyle="1" w:styleId="Heading1Char">
    <w:name w:val="Heading 1 Char"/>
    <w:basedOn w:val="DefaultParagraphFont"/>
    <w:link w:val="Heading1"/>
    <w:uiPriority w:val="9"/>
    <w:rsid w:val="00255AC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B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63465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34656"/>
  </w:style>
  <w:style w:type="character" w:styleId="PageNumber">
    <w:name w:val="page number"/>
    <w:basedOn w:val="DefaultParagraphFont"/>
    <w:uiPriority w:val="99"/>
    <w:semiHidden/>
    <w:unhideWhenUsed/>
    <w:rsid w:val="00634656"/>
  </w:style>
</w:styles>
</file>

<file path=word/webSettings.xml><?xml version="1.0" encoding="utf-8"?>
<w:webSettings xmlns:r="http://schemas.openxmlformats.org/officeDocument/2006/relationships" xmlns:w="http://schemas.openxmlformats.org/wordprocessingml/2006/main">
  <w:divs>
    <w:div w:id="10464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3156</Words>
  <Characters>17992</Characters>
  <Application>Microsoft Macintosh Word</Application>
  <DocSecurity>0</DocSecurity>
  <Lines>149</Lines>
  <Paragraphs>35</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22095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dwallacela</dc:creator>
  <cp:lastModifiedBy>Mary-Lynn Dickson User</cp:lastModifiedBy>
  <cp:revision>2</cp:revision>
  <dcterms:created xsi:type="dcterms:W3CDTF">2013-02-20T14:51:00Z</dcterms:created>
  <dcterms:modified xsi:type="dcterms:W3CDTF">2013-02-20T14:51:00Z</dcterms:modified>
</cp:coreProperties>
</file>